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B6517A3" w14:textId="04B1A9B1" w:rsidR="00334405" w:rsidRPr="00463F0B" w:rsidRDefault="002D3C0C" w:rsidP="001A4F74">
      <w:pPr>
        <w:pStyle w:val="Title"/>
        <w:spacing w:before="0" w:after="0"/>
        <w:jc w:val="center"/>
        <w:rPr>
          <w:sz w:val="48"/>
          <w:lang w:val="es-ES"/>
        </w:rPr>
      </w:pPr>
      <w:r w:rsidRPr="001A4F74">
        <w:rPr>
          <w:sz w:val="48"/>
          <w:szCs w:val="48"/>
          <w:lang w:val="es-ES" w:bidi="es-ES"/>
        </w:rPr>
        <w:t>Guía para el monitoreo del indicador 6.5.1 de los ODS</w:t>
      </w:r>
    </w:p>
    <w:p w14:paraId="2048B0F8" w14:textId="13AB74D5" w:rsidR="00334405" w:rsidRPr="00463F0B" w:rsidRDefault="00477F54" w:rsidP="001A4F74">
      <w:pPr>
        <w:pStyle w:val="Title"/>
        <w:spacing w:before="0"/>
        <w:jc w:val="center"/>
        <w:rPr>
          <w:sz w:val="28"/>
          <w:lang w:val="es-ES"/>
        </w:rPr>
      </w:pPr>
      <w:r w:rsidRPr="001A4F74">
        <w:rPr>
          <w:sz w:val="28"/>
          <w:szCs w:val="28"/>
          <w:lang w:val="es-ES" w:bidi="es-ES"/>
        </w:rPr>
        <w:t>Grado de implementación de la gestión integrada de los recursos hídricos (0‑100)</w:t>
      </w:r>
    </w:p>
    <w:p w14:paraId="1FB9CB2D" w14:textId="7BA76022" w:rsidR="00AC3EAC" w:rsidRDefault="00F02208" w:rsidP="00AC3EAC">
      <w:pPr>
        <w:pStyle w:val="Heading1"/>
      </w:pPr>
      <w:r>
        <w:rPr>
          <w:lang w:val="es-ES" w:bidi="es-ES"/>
        </w:rPr>
        <w:t>Introducción</w:t>
      </w:r>
    </w:p>
    <w:p w14:paraId="05CF53C5" w14:textId="76B98A0C" w:rsidR="00984ACB" w:rsidRPr="00463F0B" w:rsidRDefault="00F02208" w:rsidP="006D537B">
      <w:pPr>
        <w:autoSpaceDE w:val="0"/>
        <w:autoSpaceDN w:val="0"/>
        <w:adjustRightInd w:val="0"/>
        <w:jc w:val="both"/>
        <w:rPr>
          <w:sz w:val="22"/>
          <w:szCs w:val="22"/>
        </w:rPr>
      </w:pPr>
      <w:r w:rsidRPr="00743CEC">
        <w:rPr>
          <w:sz w:val="22"/>
          <w:szCs w:val="22"/>
          <w:lang w:bidi="es-ES"/>
        </w:rPr>
        <w:t xml:space="preserve">El presente documento constituye una guía para los coordinadores nacionales encargados de informar acerca del indicador 6.5.1 de los ODS sobre la implementación de la gestión integrada de los recursos hídricos (GIRH). El enfoque de monitoreo se basa en una </w:t>
      </w:r>
      <w:hyperlink r:id="rId11" w:history="1">
        <w:r w:rsidR="00286F58" w:rsidRPr="00743CEC">
          <w:rPr>
            <w:rStyle w:val="Hyperlink"/>
            <w:sz w:val="22"/>
            <w:szCs w:val="22"/>
            <w:lang w:bidi="es-ES"/>
          </w:rPr>
          <w:t>encuesta</w:t>
        </w:r>
      </w:hyperlink>
      <w:r w:rsidRPr="00743CEC">
        <w:rPr>
          <w:sz w:val="22"/>
          <w:szCs w:val="22"/>
          <w:lang w:bidi="es-ES"/>
        </w:rPr>
        <w:t xml:space="preserve"> que debe cumplimentarse cada tres años, y que incluye directrices destinadas a ayudar a los usuarios a rellenarla y calcular la puntuación del indicador. Así pues, esta guía se centra en los procesos de cumplimentación, presentación y utilización de la encuesta. Se invita a los países a designar coordinadores nacionales del indicador 6.5.1 para organizar el proceso de presentación de informes. </w:t>
      </w:r>
      <w:r w:rsidR="00AB5243" w:rsidRPr="00743CEC">
        <w:rPr>
          <w:rFonts w:eastAsia="Times New Roman" w:cs="Times New Roman"/>
          <w:sz w:val="22"/>
          <w:szCs w:val="22"/>
          <w:lang w:bidi="es-ES"/>
        </w:rPr>
        <w:t xml:space="preserve">Este coordinador suele ser un funcionario público procedente de un ministerio que, en términos generales, se encarga de los recursos hídricos del país en cuestión. </w:t>
      </w:r>
      <w:r w:rsidRPr="00743CEC">
        <w:rPr>
          <w:sz w:val="22"/>
          <w:szCs w:val="22"/>
          <w:lang w:bidi="es-ES"/>
        </w:rPr>
        <w:t xml:space="preserve">A fin de fijar la </w:t>
      </w:r>
      <w:hyperlink r:id="rId12" w:history="1">
        <w:r w:rsidR="004E3C6F">
          <w:rPr>
            <w:rStyle w:val="Hyperlink"/>
            <w:sz w:val="22"/>
            <w:szCs w:val="22"/>
            <w:lang w:bidi="es-ES"/>
          </w:rPr>
          <w:t>línea b</w:t>
        </w:r>
        <w:r w:rsidR="00C7512B" w:rsidRPr="00705BE5">
          <w:rPr>
            <w:rStyle w:val="Hyperlink"/>
            <w:sz w:val="22"/>
            <w:szCs w:val="22"/>
            <w:lang w:bidi="es-ES"/>
          </w:rPr>
          <w:t>ase</w:t>
        </w:r>
      </w:hyperlink>
      <w:r w:rsidRPr="00743CEC">
        <w:rPr>
          <w:sz w:val="22"/>
          <w:szCs w:val="22"/>
          <w:lang w:bidi="es-ES"/>
        </w:rPr>
        <w:t xml:space="preserve"> para el indicador 6.5.1 de los ODS,</w:t>
      </w:r>
      <w:r w:rsidR="001A7E86">
        <w:rPr>
          <w:sz w:val="22"/>
          <w:szCs w:val="22"/>
          <w:lang w:bidi="es-ES"/>
        </w:rPr>
        <w:t> </w:t>
      </w:r>
      <w:r w:rsidRPr="00743CEC">
        <w:rPr>
          <w:sz w:val="22"/>
          <w:szCs w:val="22"/>
          <w:lang w:bidi="es-ES"/>
        </w:rPr>
        <w:t xml:space="preserve">172 países presentaron informes en 2017. La segunda fase de recopilación de datos tendrá lugar en 2020. </w:t>
      </w:r>
    </w:p>
    <w:p w14:paraId="087ACC99" w14:textId="707C55A7" w:rsidR="00984ACB" w:rsidRPr="00463F0B" w:rsidRDefault="00984ACB" w:rsidP="006D537B">
      <w:pPr>
        <w:autoSpaceDE w:val="0"/>
        <w:autoSpaceDN w:val="0"/>
        <w:adjustRightInd w:val="0"/>
        <w:jc w:val="both"/>
        <w:rPr>
          <w:sz w:val="22"/>
          <w:szCs w:val="22"/>
        </w:rPr>
      </w:pPr>
      <w:r w:rsidRPr="00743CEC">
        <w:rPr>
          <w:sz w:val="22"/>
          <w:szCs w:val="22"/>
          <w:lang w:bidi="es-ES"/>
        </w:rPr>
        <w:t>La presente guía consta de las siguientes secciones principales:</w:t>
      </w:r>
    </w:p>
    <w:p w14:paraId="5B66B08A" w14:textId="1AD3B406" w:rsidR="00984ACB" w:rsidRPr="00463F0B" w:rsidRDefault="00984ACB" w:rsidP="00984ACB">
      <w:pPr>
        <w:pStyle w:val="ListParagraph"/>
        <w:numPr>
          <w:ilvl w:val="0"/>
          <w:numId w:val="18"/>
        </w:numPr>
        <w:autoSpaceDE w:val="0"/>
        <w:autoSpaceDN w:val="0"/>
        <w:adjustRightInd w:val="0"/>
        <w:rPr>
          <w:sz w:val="22"/>
          <w:szCs w:val="22"/>
        </w:rPr>
      </w:pPr>
      <w:r w:rsidRPr="00743CEC">
        <w:rPr>
          <w:sz w:val="22"/>
          <w:szCs w:val="22"/>
          <w:lang w:bidi="es-ES"/>
        </w:rPr>
        <w:t>Sección 2: Recomendaciones sobre el proceso nacional de monitoreo y presentación de informes.</w:t>
      </w:r>
    </w:p>
    <w:p w14:paraId="6451D66C" w14:textId="46AE0E24" w:rsidR="00984ACB" w:rsidRPr="00743CEC" w:rsidRDefault="00984ACB" w:rsidP="00984ACB">
      <w:pPr>
        <w:pStyle w:val="ListParagraph"/>
        <w:numPr>
          <w:ilvl w:val="0"/>
          <w:numId w:val="18"/>
        </w:numPr>
        <w:autoSpaceDE w:val="0"/>
        <w:autoSpaceDN w:val="0"/>
        <w:adjustRightInd w:val="0"/>
        <w:rPr>
          <w:sz w:val="22"/>
          <w:szCs w:val="22"/>
          <w:lang w:val="en-GB"/>
        </w:rPr>
      </w:pPr>
      <w:r w:rsidRPr="00743CEC">
        <w:rPr>
          <w:sz w:val="22"/>
          <w:szCs w:val="22"/>
          <w:lang w:bidi="es-ES"/>
        </w:rPr>
        <w:t>Sección 3: Establecimiento de objetivos.</w:t>
      </w:r>
    </w:p>
    <w:p w14:paraId="566D00EF" w14:textId="1E614B41" w:rsidR="00984ACB" w:rsidRPr="00463F0B" w:rsidRDefault="00984ACB" w:rsidP="00984ACB">
      <w:pPr>
        <w:pStyle w:val="ListParagraph"/>
        <w:numPr>
          <w:ilvl w:val="0"/>
          <w:numId w:val="18"/>
        </w:numPr>
        <w:autoSpaceDE w:val="0"/>
        <w:autoSpaceDN w:val="0"/>
        <w:adjustRightInd w:val="0"/>
        <w:rPr>
          <w:sz w:val="22"/>
          <w:szCs w:val="22"/>
        </w:rPr>
      </w:pPr>
      <w:r w:rsidRPr="00743CEC">
        <w:rPr>
          <w:sz w:val="22"/>
          <w:szCs w:val="22"/>
          <w:lang w:bidi="es-ES"/>
        </w:rPr>
        <w:t>Sección 4: Aplicación de la encuesta a la planificación nacional.</w:t>
      </w:r>
    </w:p>
    <w:p w14:paraId="37EEA64E" w14:textId="1590BDBB" w:rsidR="00984ACB" w:rsidRPr="00463F0B" w:rsidRDefault="00984ACB" w:rsidP="00984ACB">
      <w:pPr>
        <w:pStyle w:val="ListParagraph"/>
        <w:numPr>
          <w:ilvl w:val="0"/>
          <w:numId w:val="18"/>
        </w:numPr>
        <w:autoSpaceDE w:val="0"/>
        <w:autoSpaceDN w:val="0"/>
        <w:adjustRightInd w:val="0"/>
        <w:rPr>
          <w:sz w:val="22"/>
          <w:szCs w:val="22"/>
        </w:rPr>
      </w:pPr>
      <w:r w:rsidRPr="00743CEC">
        <w:rPr>
          <w:sz w:val="22"/>
          <w:szCs w:val="22"/>
          <w:lang w:bidi="es-ES"/>
        </w:rPr>
        <w:t>Sección 5: Diferencias con respecto a la encuesta de referencia.</w:t>
      </w:r>
    </w:p>
    <w:p w14:paraId="276CAC1C" w14:textId="029D7CB2" w:rsidR="00984ACB" w:rsidRPr="00463F0B" w:rsidRDefault="00984ACB" w:rsidP="00984ACB">
      <w:pPr>
        <w:pStyle w:val="ListParagraph"/>
        <w:numPr>
          <w:ilvl w:val="0"/>
          <w:numId w:val="18"/>
        </w:numPr>
        <w:autoSpaceDE w:val="0"/>
        <w:autoSpaceDN w:val="0"/>
        <w:adjustRightInd w:val="0"/>
        <w:rPr>
          <w:sz w:val="22"/>
          <w:szCs w:val="22"/>
        </w:rPr>
      </w:pPr>
      <w:r w:rsidRPr="00743CEC">
        <w:rPr>
          <w:sz w:val="22"/>
          <w:szCs w:val="22"/>
          <w:lang w:bidi="es-ES"/>
        </w:rPr>
        <w:t>Sección 6: Presentación y Servicio de Asistencia.</w:t>
      </w:r>
    </w:p>
    <w:p w14:paraId="0623EF43" w14:textId="77777777" w:rsidR="00D8506A" w:rsidRPr="005B629E" w:rsidRDefault="00D8506A" w:rsidP="00D8506A">
      <w:pPr>
        <w:pStyle w:val="Heading2"/>
      </w:pPr>
      <w:r w:rsidRPr="005B629E">
        <w:rPr>
          <w:lang w:val="es-ES" w:bidi="es-ES"/>
        </w:rPr>
        <w:t>Resumen del indicador</w:t>
      </w:r>
    </w:p>
    <w:p w14:paraId="2B9E90AB" w14:textId="4E2508F7" w:rsidR="00D8506A" w:rsidRPr="00463F0B" w:rsidRDefault="00D8506A" w:rsidP="00D8506A">
      <w:pPr>
        <w:rPr>
          <w:sz w:val="22"/>
          <w:szCs w:val="22"/>
        </w:rPr>
      </w:pPr>
      <w:r w:rsidRPr="00743CEC">
        <w:rPr>
          <w:b/>
          <w:sz w:val="22"/>
          <w:szCs w:val="22"/>
          <w:lang w:bidi="es-ES"/>
        </w:rPr>
        <w:t>Meta 6.5</w:t>
      </w:r>
      <w:r w:rsidRPr="00743CEC">
        <w:rPr>
          <w:sz w:val="22"/>
          <w:szCs w:val="22"/>
          <w:lang w:bidi="es-ES"/>
        </w:rPr>
        <w:tab/>
        <w:t>De aquí a 2030, implementar la gestión integrada de los recursos hídricos a todos los niveles, incluso mediante la cooperación transfronteriza, según proceda.</w:t>
      </w:r>
    </w:p>
    <w:p w14:paraId="7D20B3DA" w14:textId="77777777" w:rsidR="00D8506A" w:rsidRPr="00463F0B" w:rsidRDefault="00D8506A" w:rsidP="00D8506A">
      <w:pPr>
        <w:rPr>
          <w:sz w:val="22"/>
          <w:szCs w:val="22"/>
        </w:rPr>
      </w:pPr>
      <w:r w:rsidRPr="00743CEC">
        <w:rPr>
          <w:b/>
          <w:sz w:val="22"/>
          <w:szCs w:val="22"/>
          <w:lang w:bidi="es-ES"/>
        </w:rPr>
        <w:t>Indicador 6.5.1</w:t>
      </w:r>
      <w:r w:rsidRPr="00743CEC">
        <w:rPr>
          <w:sz w:val="22"/>
          <w:szCs w:val="22"/>
          <w:lang w:bidi="es-ES"/>
        </w:rPr>
        <w:tab/>
        <w:t>Grado de implementación de la gestión integrada de los recursos hídricos (0‑100).</w:t>
      </w:r>
    </w:p>
    <w:p w14:paraId="6AA0BA30" w14:textId="77777777" w:rsidR="00D8506A" w:rsidRPr="00463F0B" w:rsidRDefault="00D8506A" w:rsidP="00D8506A">
      <w:pPr>
        <w:rPr>
          <w:sz w:val="22"/>
          <w:szCs w:val="22"/>
        </w:rPr>
      </w:pPr>
      <w:r w:rsidRPr="00743CEC">
        <w:rPr>
          <w:sz w:val="22"/>
          <w:szCs w:val="22"/>
          <w:lang w:bidi="es-ES"/>
        </w:rPr>
        <w:t xml:space="preserve">Tal y como se explica más adelante, el indicador se determina a partir de los resultados de una encuesta sobre la GIRH. </w:t>
      </w:r>
    </w:p>
    <w:p w14:paraId="07908F2F" w14:textId="0E20FF9F" w:rsidR="005029B3" w:rsidRPr="00463F0B" w:rsidRDefault="005029B3" w:rsidP="005029B3">
      <w:pPr>
        <w:pStyle w:val="Heading2"/>
        <w:rPr>
          <w:lang w:val="es-ES"/>
        </w:rPr>
      </w:pPr>
      <w:proofErr w:type="gramStart"/>
      <w:r w:rsidRPr="005B629E">
        <w:rPr>
          <w:lang w:val="es-ES" w:bidi="es-ES"/>
        </w:rPr>
        <w:t>¿Por qué es necesario informar sobre el indicador 6.</w:t>
      </w:r>
      <w:proofErr w:type="gramEnd"/>
      <w:r w:rsidRPr="005B629E">
        <w:rPr>
          <w:lang w:val="es-ES" w:bidi="es-ES"/>
        </w:rPr>
        <w:t xml:space="preserve">5.1 de los ODS? </w:t>
      </w:r>
    </w:p>
    <w:p w14:paraId="2C77B612" w14:textId="0D0663D8" w:rsidR="005029B3" w:rsidRPr="00463F0B" w:rsidRDefault="005B629E" w:rsidP="006D537B">
      <w:pPr>
        <w:jc w:val="both"/>
        <w:rPr>
          <w:sz w:val="22"/>
          <w:szCs w:val="22"/>
        </w:rPr>
      </w:pPr>
      <w:r w:rsidRPr="003D166E">
        <w:rPr>
          <w:rFonts w:eastAsia="Times New Roman"/>
          <w:color w:val="000000"/>
          <w:sz w:val="22"/>
          <w:szCs w:val="22"/>
          <w:lang w:bidi="es-ES"/>
        </w:rPr>
        <w:t xml:space="preserve">El objetivo principal de esta encuesta es monitorear e informar sobre este indicador a escala mundial. Se ha diseñado como una herramienta de diagnóstico útil y sencilla para que los países puedan identificar las fortalezas y debilidades existentes en diferentes aspectos de la implementación de la GIRH. El enfoque de cumplimentación de la encuesta fomenta el diálogo intersectorial a distintos niveles. Tanto la encuesta como el enfoque de cumplimentación pretenden resultar útiles para los procesos de planificación nacional con objeto de fomentar la implementación de la GIRH y, por consiguiente, avanzar hacia la consecución de la meta 6.5 de los ODS («De aquí a 2030, implementar la gestión integrada de los recursos hídricos a todos los niveles, incluso mediante la cooperación transfronteriza, según proceda»). </w:t>
      </w:r>
    </w:p>
    <w:p w14:paraId="21575632" w14:textId="5D59CCA4" w:rsidR="00D260AB" w:rsidRPr="00463F0B" w:rsidRDefault="00D260AB" w:rsidP="006D537B">
      <w:pPr>
        <w:jc w:val="both"/>
        <w:rPr>
          <w:sz w:val="22"/>
          <w:szCs w:val="22"/>
        </w:rPr>
      </w:pPr>
      <w:r w:rsidRPr="00743CEC">
        <w:rPr>
          <w:sz w:val="22"/>
          <w:szCs w:val="22"/>
          <w:lang w:bidi="es-ES"/>
        </w:rPr>
        <w:lastRenderedPageBreak/>
        <w:t xml:space="preserve">La GIRH constituye un proceso que promueve la coordinación del desarrollo y la gestión de los recursos hídricos, terrestres y conexos para maximizar el bienestar económico y social resultante de manera equitativa, sin poner en riesgo la sostenibilidad de los ecosistemas vitales. La GIRH no es un fin, sino un medio para conseguir los tres objetivos clave de la gestión sostenible de los recursos hídricos: </w:t>
      </w:r>
    </w:p>
    <w:p w14:paraId="2E927171" w14:textId="77777777" w:rsidR="00D260AB" w:rsidRPr="00463F0B" w:rsidRDefault="00D260AB" w:rsidP="00D260AB">
      <w:pPr>
        <w:pStyle w:val="ListParagraph"/>
        <w:numPr>
          <w:ilvl w:val="0"/>
          <w:numId w:val="4"/>
        </w:numPr>
        <w:rPr>
          <w:sz w:val="22"/>
          <w:szCs w:val="22"/>
        </w:rPr>
      </w:pPr>
      <w:r w:rsidRPr="00743CEC">
        <w:rPr>
          <w:sz w:val="22"/>
          <w:szCs w:val="22"/>
          <w:lang w:bidi="es-ES"/>
        </w:rPr>
        <w:t>La eficiencia económica a fin de emplear los recursos hídricos de la mejor manera posible.</w:t>
      </w:r>
    </w:p>
    <w:p w14:paraId="4316B525" w14:textId="77777777" w:rsidR="00D260AB" w:rsidRPr="00463F0B" w:rsidRDefault="00D260AB" w:rsidP="00D260AB">
      <w:pPr>
        <w:pStyle w:val="ListParagraph"/>
        <w:numPr>
          <w:ilvl w:val="0"/>
          <w:numId w:val="4"/>
        </w:numPr>
        <w:rPr>
          <w:sz w:val="22"/>
          <w:szCs w:val="22"/>
        </w:rPr>
      </w:pPr>
      <w:r w:rsidRPr="00743CEC">
        <w:rPr>
          <w:sz w:val="22"/>
          <w:szCs w:val="22"/>
          <w:lang w:bidi="es-ES"/>
        </w:rPr>
        <w:t>La equidad social mediante una distribución hídrica de la que disfruten todos los grupos sociales y económicos.</w:t>
      </w:r>
    </w:p>
    <w:p w14:paraId="59303604" w14:textId="77777777" w:rsidR="00D260AB" w:rsidRPr="00463F0B" w:rsidRDefault="00D260AB" w:rsidP="00D260AB">
      <w:pPr>
        <w:pStyle w:val="ListParagraph"/>
        <w:numPr>
          <w:ilvl w:val="0"/>
          <w:numId w:val="4"/>
        </w:numPr>
        <w:rPr>
          <w:sz w:val="22"/>
          <w:szCs w:val="22"/>
        </w:rPr>
      </w:pPr>
      <w:r w:rsidRPr="00743CEC">
        <w:rPr>
          <w:sz w:val="22"/>
          <w:szCs w:val="22"/>
          <w:lang w:bidi="es-ES"/>
        </w:rPr>
        <w:t>La sostenibilidad ambiental con el objetivo de proteger la base de recursos hídricos, así como los ecosistemas asociados.</w:t>
      </w:r>
    </w:p>
    <w:p w14:paraId="113E45A5" w14:textId="69654148" w:rsidR="005E47ED" w:rsidRPr="00463F0B" w:rsidRDefault="00D260AB" w:rsidP="006D537B">
      <w:pPr>
        <w:jc w:val="both"/>
        <w:rPr>
          <w:sz w:val="22"/>
          <w:szCs w:val="22"/>
        </w:rPr>
      </w:pPr>
      <w:r w:rsidRPr="00743CEC">
        <w:rPr>
          <w:sz w:val="22"/>
          <w:szCs w:val="22"/>
          <w:lang w:bidi="es-ES"/>
        </w:rPr>
        <w:t xml:space="preserve">Por lo tanto, a través de la implementación de la GIRH, se avanza hacia otras metas del Objetivo de Desarrollo Sostenible 6 —«Garantizar la disponibilidad y la gestión sostenible del agua y el saneamiento para todos»— y otros ODS relacionados con el agua. </w:t>
      </w:r>
    </w:p>
    <w:p w14:paraId="5D2192BC" w14:textId="77777777" w:rsidR="007D6DEA" w:rsidRPr="00743CEC" w:rsidRDefault="007D6DEA" w:rsidP="007D6DEA">
      <w:pPr>
        <w:pStyle w:val="Heading2"/>
      </w:pPr>
      <w:r w:rsidRPr="00743CEC">
        <w:rPr>
          <w:lang w:val="es-ES" w:bidi="es-ES"/>
        </w:rPr>
        <w:t>Resumen de la encuesta</w:t>
      </w:r>
    </w:p>
    <w:p w14:paraId="6C072078" w14:textId="77777777" w:rsidR="007D6DEA" w:rsidRPr="00463F0B" w:rsidRDefault="007D6DEA" w:rsidP="006D537B">
      <w:pPr>
        <w:jc w:val="both"/>
        <w:rPr>
          <w:sz w:val="22"/>
          <w:szCs w:val="22"/>
        </w:rPr>
      </w:pPr>
      <w:r w:rsidRPr="00743CEC">
        <w:rPr>
          <w:sz w:val="22"/>
          <w:szCs w:val="22"/>
          <w:lang w:bidi="es-ES"/>
        </w:rPr>
        <w:t xml:space="preserve">La encuesta consta de unas 30 preguntas que abarcan distintos aspectos de la GIRH, divididos en cuatro secciones: entorno propicio, instituciones y participación, instrumentos de gestión, y financiación. Cada sección se divide en dos subsecciones; la primera abarca el nivel nacional y la segunda «todos los niveles», incluido el plano subnacional, transfronterizo y de las cuencas o acuíferos, según proceda. </w:t>
      </w:r>
    </w:p>
    <w:p w14:paraId="68758431" w14:textId="687BB29A" w:rsidR="007D6DEA" w:rsidRPr="00743CEC" w:rsidRDefault="007D6DEA" w:rsidP="006D537B">
      <w:pPr>
        <w:jc w:val="both"/>
        <w:rPr>
          <w:sz w:val="22"/>
          <w:szCs w:val="22"/>
        </w:rPr>
      </w:pPr>
      <w:r w:rsidRPr="00743CEC">
        <w:rPr>
          <w:sz w:val="22"/>
          <w:szCs w:val="22"/>
          <w:lang w:bidi="es-ES"/>
        </w:rPr>
        <w:t xml:space="preserve">Cada pregunta se puntúa de 0 a 100 conforme a una serie de descripciones de referencia; la puntuación global del indicador, también expresada de 0 a 100, se obtiene al calcular el promedio de todas las preguntas. Se anima a los encuestados a aportar información adicional mediante los campos de respuestas de desarrollo de cada pregunta: «Descripción de la situación» y «Formas de avanzar» (véase la sección 5 de la presente guía). </w:t>
      </w:r>
    </w:p>
    <w:p w14:paraId="01EEE4E3" w14:textId="2E0DA401" w:rsidR="00AC3EAC" w:rsidRPr="00463F0B" w:rsidRDefault="007D6DEA" w:rsidP="00AC3EAC">
      <w:pPr>
        <w:pStyle w:val="Heading1"/>
        <w:rPr>
          <w:lang w:val="es-ES"/>
        </w:rPr>
      </w:pPr>
      <w:r w:rsidRPr="007D6DEA">
        <w:rPr>
          <w:lang w:val="es-ES" w:bidi="es-ES"/>
        </w:rPr>
        <w:t>Recomendaciones sobre el proceso nacional de monitoreo y presentación de informes.</w:t>
      </w:r>
    </w:p>
    <w:p w14:paraId="219C485D" w14:textId="77777777" w:rsidR="00530F2F" w:rsidRDefault="00AC67C2" w:rsidP="005A103A">
      <w:pPr>
        <w:jc w:val="both"/>
        <w:rPr>
          <w:rFonts w:eastAsia="Times New Roman" w:cs="Times New Roman"/>
          <w:sz w:val="22"/>
          <w:szCs w:val="22"/>
        </w:rPr>
      </w:pPr>
      <w:r w:rsidRPr="00743CEC">
        <w:rPr>
          <w:rFonts w:eastAsia="Times New Roman" w:cs="Times New Roman"/>
          <w:sz w:val="22"/>
          <w:szCs w:val="22"/>
          <w:lang w:bidi="es-ES"/>
        </w:rPr>
        <w:t xml:space="preserve">Es responsabilidad del coordinador gestionar las contribuciones de sus compañeros y otras partes interesadas con el objetivo de cumplimentar la encuesta, lo cual ayuda a </w:t>
      </w:r>
      <w:r w:rsidR="006546FC" w:rsidRPr="00743CEC">
        <w:rPr>
          <w:sz w:val="22"/>
          <w:szCs w:val="22"/>
          <w:lang w:bidi="es-ES"/>
        </w:rPr>
        <w:t xml:space="preserve">fomentar la participación de las partes interesadas y a que estas asuman la gestión hídrica y los procesos de toma de decisiones como propios. Además, aumenta la solidez y utilidad de la encuesta como instrumento de diagnóstico de cara a futuros procesos de debate y planificación. </w:t>
      </w:r>
    </w:p>
    <w:p w14:paraId="15D89852" w14:textId="7F943DFA" w:rsidR="005F583B" w:rsidRPr="00743CEC" w:rsidRDefault="00B03638" w:rsidP="006D537B">
      <w:pPr>
        <w:spacing w:after="0"/>
        <w:jc w:val="both"/>
        <w:rPr>
          <w:rFonts w:eastAsia="Times New Roman" w:cs="Times New Roman"/>
          <w:sz w:val="22"/>
          <w:szCs w:val="22"/>
        </w:rPr>
      </w:pPr>
      <w:r w:rsidRPr="00743CEC">
        <w:rPr>
          <w:rFonts w:eastAsia="Times New Roman" w:cs="Times New Roman"/>
          <w:sz w:val="22"/>
          <w:szCs w:val="22"/>
          <w:lang w:bidi="es-ES"/>
        </w:rPr>
        <w:t xml:space="preserve">Aunque el coordinador debe definir el grado y modo de participación de las partes interesadas —teniendo en cuenta los recursos disponibles y las restricciones temporales—, se recomienda lo siguiente: </w:t>
      </w:r>
    </w:p>
    <w:p w14:paraId="16215CB4" w14:textId="77777777" w:rsidR="005F583B" w:rsidRPr="00743CEC" w:rsidRDefault="005F583B" w:rsidP="006D537B">
      <w:pPr>
        <w:pStyle w:val="ListParagraph"/>
        <w:numPr>
          <w:ilvl w:val="0"/>
          <w:numId w:val="11"/>
        </w:numPr>
        <w:spacing w:after="0"/>
        <w:rPr>
          <w:rFonts w:eastAsia="Times New Roman" w:cs="Times New Roman"/>
          <w:b/>
          <w:sz w:val="22"/>
          <w:szCs w:val="22"/>
        </w:rPr>
      </w:pPr>
      <w:r w:rsidRPr="00743CEC">
        <w:rPr>
          <w:rFonts w:eastAsia="Times New Roman" w:cs="Times New Roman"/>
          <w:b/>
          <w:sz w:val="22"/>
          <w:szCs w:val="22"/>
          <w:lang w:bidi="es-ES"/>
        </w:rPr>
        <w:t xml:space="preserve">Grupos de interesados: </w:t>
      </w:r>
    </w:p>
    <w:p w14:paraId="23110012" w14:textId="222FEBAB" w:rsidR="005F583B" w:rsidRPr="00743CEC" w:rsidRDefault="005F583B" w:rsidP="006D537B">
      <w:pPr>
        <w:pStyle w:val="ListParagraph"/>
        <w:numPr>
          <w:ilvl w:val="1"/>
          <w:numId w:val="11"/>
        </w:numPr>
        <w:spacing w:after="0"/>
        <w:ind w:left="1276"/>
        <w:rPr>
          <w:rFonts w:eastAsia="Times New Roman" w:cs="Times New Roman"/>
          <w:sz w:val="22"/>
          <w:szCs w:val="22"/>
        </w:rPr>
      </w:pPr>
      <w:r w:rsidRPr="00743CEC">
        <w:rPr>
          <w:rFonts w:eastAsia="Times New Roman" w:cs="Times New Roman"/>
          <w:sz w:val="22"/>
          <w:szCs w:val="22"/>
          <w:lang w:bidi="es-ES"/>
        </w:rPr>
        <w:t xml:space="preserve">El Gobierno: representantes del principal ministerio —o ministerios— encargado de los recursos hídricos, así como de otros ministerios implicados en la gestión de los recursos hídricos (por ejemplo, los de agricultura, energía, recursos naturales, medio ambiente, finanzas, planificación urbana y turismo). </w:t>
      </w:r>
    </w:p>
    <w:p w14:paraId="02C3BCBC" w14:textId="6FC3DCD5" w:rsidR="005F583B" w:rsidRPr="00743CEC" w:rsidRDefault="00867BF1" w:rsidP="006D537B">
      <w:pPr>
        <w:pStyle w:val="ListParagraph"/>
        <w:numPr>
          <w:ilvl w:val="1"/>
          <w:numId w:val="11"/>
        </w:numPr>
        <w:spacing w:after="0"/>
        <w:ind w:left="1276"/>
        <w:rPr>
          <w:rFonts w:eastAsia="Times New Roman" w:cs="Times New Roman"/>
          <w:sz w:val="22"/>
          <w:szCs w:val="22"/>
        </w:rPr>
      </w:pPr>
      <w:r w:rsidRPr="00743CEC">
        <w:rPr>
          <w:rFonts w:eastAsia="Times New Roman" w:cs="Times New Roman"/>
          <w:sz w:val="22"/>
          <w:szCs w:val="22"/>
          <w:lang w:bidi="es-ES"/>
        </w:rPr>
        <w:t xml:space="preserve">Nivel de las cuencas y acuíferos: por ejemplo, organizaciones responsables de la gestión de los recursos hídricos de las cuencas hidrográficas, </w:t>
      </w:r>
      <w:r w:rsidR="004E3C6F">
        <w:rPr>
          <w:rFonts w:eastAsia="Times New Roman" w:cs="Times New Roman"/>
          <w:sz w:val="22"/>
          <w:szCs w:val="22"/>
          <w:lang w:bidi="es-ES"/>
        </w:rPr>
        <w:t>lacustres</w:t>
      </w:r>
      <w:r w:rsidR="004E3C6F" w:rsidRPr="00743CEC">
        <w:rPr>
          <w:rFonts w:eastAsia="Times New Roman" w:cs="Times New Roman"/>
          <w:sz w:val="22"/>
          <w:szCs w:val="22"/>
          <w:lang w:bidi="es-ES"/>
        </w:rPr>
        <w:t xml:space="preserve"> </w:t>
      </w:r>
      <w:r w:rsidRPr="00743CEC">
        <w:rPr>
          <w:rFonts w:eastAsia="Times New Roman" w:cs="Times New Roman"/>
          <w:sz w:val="22"/>
          <w:szCs w:val="22"/>
          <w:lang w:bidi="es-ES"/>
        </w:rPr>
        <w:t xml:space="preserve">o de los acuíferos. </w:t>
      </w:r>
    </w:p>
    <w:p w14:paraId="250425FF" w14:textId="785F5190" w:rsidR="00867BF1" w:rsidRPr="00743CEC" w:rsidRDefault="00867BF1" w:rsidP="006D537B">
      <w:pPr>
        <w:pStyle w:val="ListParagraph"/>
        <w:numPr>
          <w:ilvl w:val="1"/>
          <w:numId w:val="11"/>
        </w:numPr>
        <w:spacing w:after="0"/>
        <w:ind w:left="1276"/>
        <w:rPr>
          <w:rFonts w:eastAsia="Times New Roman" w:cs="Times New Roman"/>
          <w:sz w:val="22"/>
          <w:szCs w:val="22"/>
        </w:rPr>
      </w:pPr>
      <w:r w:rsidRPr="00743CEC">
        <w:rPr>
          <w:rFonts w:eastAsia="Times New Roman" w:cs="Times New Roman"/>
          <w:sz w:val="22"/>
          <w:szCs w:val="22"/>
          <w:lang w:bidi="es-ES"/>
        </w:rPr>
        <w:t xml:space="preserve">Otras partes interesadas: el sector privado, los grupos comunitarios, las asociaciones de usuarios del agua, el mundo académico, las organizaciones no gubernamentales, las organizaciones ambientales y los profesionales de la gestión de los recursos hídricos. </w:t>
      </w:r>
    </w:p>
    <w:p w14:paraId="50B14DAC" w14:textId="1547B009" w:rsidR="006728C9" w:rsidRPr="00743CEC" w:rsidRDefault="006728C9" w:rsidP="006D537B">
      <w:pPr>
        <w:pStyle w:val="ListParagraph"/>
        <w:numPr>
          <w:ilvl w:val="1"/>
          <w:numId w:val="11"/>
        </w:numPr>
        <w:spacing w:after="0"/>
        <w:ind w:left="1276"/>
        <w:rPr>
          <w:rFonts w:eastAsia="Times New Roman" w:cs="Times New Roman"/>
          <w:sz w:val="22"/>
          <w:szCs w:val="22"/>
        </w:rPr>
      </w:pPr>
      <w:r w:rsidRPr="00743CEC">
        <w:rPr>
          <w:rFonts w:eastAsia="Times New Roman" w:cs="Times New Roman"/>
          <w:sz w:val="22"/>
          <w:szCs w:val="22"/>
          <w:lang w:bidi="es-ES"/>
        </w:rPr>
        <w:lastRenderedPageBreak/>
        <w:t xml:space="preserve">Para ciertas preguntas de la encuesta, es muy recomendable contar con representantes o expertos en las siguientes esferas: el sector privado (pregunta 2.1d), los grupos vulnerables (pregunta 2.2c), el género (pregunta 2.2d) y las cuestiones hídricas transfronterizas (preguntas 1.2c, 2.2e, 3.2d, 4.2c). </w:t>
      </w:r>
    </w:p>
    <w:p w14:paraId="36DCBEA2" w14:textId="2070FC3D" w:rsidR="00867BF1" w:rsidRPr="00743CEC" w:rsidRDefault="009D488F" w:rsidP="006D537B">
      <w:pPr>
        <w:pStyle w:val="ListParagraph"/>
        <w:numPr>
          <w:ilvl w:val="0"/>
          <w:numId w:val="11"/>
        </w:numPr>
        <w:spacing w:after="0"/>
        <w:rPr>
          <w:rFonts w:eastAsia="Times New Roman" w:cs="Times New Roman"/>
          <w:sz w:val="22"/>
          <w:szCs w:val="22"/>
        </w:rPr>
      </w:pPr>
      <w:r w:rsidRPr="00743CEC">
        <w:rPr>
          <w:rFonts w:eastAsia="Times New Roman" w:cs="Times New Roman"/>
          <w:b/>
          <w:sz w:val="22"/>
          <w:szCs w:val="22"/>
          <w:lang w:bidi="es-ES"/>
        </w:rPr>
        <w:t>Proceso de participación:</w:t>
      </w:r>
      <w:r w:rsidRPr="00743CEC">
        <w:rPr>
          <w:rFonts w:eastAsia="Times New Roman" w:cs="Times New Roman"/>
          <w:sz w:val="22"/>
          <w:szCs w:val="22"/>
          <w:lang w:bidi="es-ES"/>
        </w:rPr>
        <w:t xml:space="preserve"> Los mejores resultados suelen obtenerse mediante la celebración de talleres, complementados con correos electrónicos, llamadas telefónicas y otras reuniones. Cada país debe decidir cuántos talleres tendrán lugar y dónde se celebrarán, además de cuál será la representación de las partes interesadas. Contamos con unos 30 informes nacionales relativos a los talleres del período de monitoreo de referencia, los cuales pueden solicitarse y servir como fuente de inspiración. También se pueden solicitar modelos de los informes de los talleres facultativos al Servicio de Asistencia del indicador 6.5.1. </w:t>
      </w:r>
    </w:p>
    <w:p w14:paraId="4E951BA2" w14:textId="777744BF" w:rsidR="006E5E63" w:rsidRPr="00743CEC" w:rsidRDefault="00D533AC" w:rsidP="006D537B">
      <w:pPr>
        <w:pStyle w:val="ListParagraph"/>
        <w:numPr>
          <w:ilvl w:val="0"/>
          <w:numId w:val="11"/>
        </w:numPr>
        <w:spacing w:after="0"/>
        <w:rPr>
          <w:rFonts w:eastAsia="Times New Roman" w:cs="Times New Roman"/>
          <w:sz w:val="22"/>
          <w:szCs w:val="22"/>
        </w:rPr>
      </w:pPr>
      <w:r w:rsidRPr="00743CEC">
        <w:rPr>
          <w:rFonts w:eastAsia="Times New Roman" w:cs="Times New Roman"/>
          <w:b/>
          <w:sz w:val="22"/>
          <w:szCs w:val="22"/>
          <w:lang w:bidi="es-ES"/>
        </w:rPr>
        <w:t xml:space="preserve">Elaboración de respuestas: </w:t>
      </w:r>
      <w:r w:rsidRPr="00743CEC">
        <w:rPr>
          <w:rFonts w:eastAsia="Times New Roman" w:cs="Times New Roman"/>
          <w:sz w:val="22"/>
          <w:szCs w:val="22"/>
          <w:lang w:bidi="es-ES"/>
        </w:rPr>
        <w:t xml:space="preserve">En función del proceso de participación, las respuestas pueden elaborarse «en serie», «en paralelo» o mediante una combinación de ambos enfoques (véase el cuadro 1). Con el enfoque «en serie», se pueden preparar varios proyectos de encuesta de forma consecutiva, en los que participen diferentes grupos de interesados; por ejemplo, unas pocas instituciones gubernamentales clave pueden elaborar un primer proyecto, un grupo más amplio de instituciones de este tipo el segundo, y otras partes interesadas el tercero. El enfoque «en paralelo» consiste en solicitar a varios grupos de interesados que rellenen una encuesta en blanco y combinar las distintas respuestas para obtener una única versión final; este método puede emplearse en uno o varios talleres que permitan llegar a un consenso mediante el diálogo. Sea cual sea el proceso, una vez este haya concluido se debería contar con una única versión, consolidada y consensuada, de la encuesta. </w:t>
      </w:r>
    </w:p>
    <w:p w14:paraId="15F876C4" w14:textId="78247439" w:rsidR="004132FF" w:rsidRPr="00451405" w:rsidRDefault="004132FF" w:rsidP="006D537B">
      <w:pPr>
        <w:pStyle w:val="ListParagraph"/>
        <w:numPr>
          <w:ilvl w:val="0"/>
          <w:numId w:val="11"/>
        </w:numPr>
        <w:ind w:left="714" w:hanging="357"/>
        <w:rPr>
          <w:sz w:val="22"/>
          <w:szCs w:val="22"/>
        </w:rPr>
      </w:pPr>
      <w:r w:rsidRPr="00743CEC">
        <w:rPr>
          <w:rFonts w:eastAsia="Times New Roman" w:cs="Times New Roman"/>
          <w:b/>
          <w:sz w:val="22"/>
          <w:szCs w:val="22"/>
          <w:lang w:bidi="es-ES"/>
        </w:rPr>
        <w:t xml:space="preserve">Colaboración con otros coordinadores nacionales del indicador de los ODS: </w:t>
      </w:r>
      <w:r w:rsidRPr="00743CEC">
        <w:rPr>
          <w:rFonts w:eastAsia="Times New Roman" w:cs="Times New Roman"/>
          <w:sz w:val="22"/>
          <w:szCs w:val="22"/>
          <w:lang w:bidi="es-ES"/>
        </w:rPr>
        <w:t>si es posible, a fin de armonizar las respuestas nacionales y recibir comentarios pertinentes de otras partes interesadas. Las siguientes preguntas están estrechamente relacionadas con otras metas e indicadores de los ODS:</w:t>
      </w:r>
    </w:p>
    <w:tbl>
      <w:tblPr>
        <w:tblStyle w:val="TableGrid"/>
        <w:tblW w:w="0" w:type="auto"/>
        <w:tblLook w:val="04A0" w:firstRow="1" w:lastRow="0" w:firstColumn="1" w:lastColumn="0" w:noHBand="0" w:noVBand="1"/>
      </w:tblPr>
      <w:tblGrid>
        <w:gridCol w:w="2981"/>
        <w:gridCol w:w="7233"/>
      </w:tblGrid>
      <w:tr w:rsidR="0058462A" w14:paraId="44A2801D" w14:textId="77777777" w:rsidTr="00EF0B3B">
        <w:tc>
          <w:tcPr>
            <w:tcW w:w="0" w:type="auto"/>
            <w:vAlign w:val="center"/>
          </w:tcPr>
          <w:p w14:paraId="3C7F0461" w14:textId="67D60DF8" w:rsidR="00404DA4" w:rsidRPr="00EC43B6" w:rsidRDefault="00EC43B6" w:rsidP="00EF0B3B">
            <w:pPr>
              <w:spacing w:after="0"/>
              <w:rPr>
                <w:b/>
                <w:sz w:val="22"/>
                <w:szCs w:val="22"/>
              </w:rPr>
            </w:pPr>
            <w:r w:rsidRPr="00EC43B6">
              <w:rPr>
                <w:b/>
                <w:sz w:val="22"/>
                <w:szCs w:val="22"/>
                <w:lang w:bidi="es-ES"/>
              </w:rPr>
              <w:t>Pregunta de la encuesta</w:t>
            </w:r>
          </w:p>
        </w:tc>
        <w:tc>
          <w:tcPr>
            <w:tcW w:w="0" w:type="auto"/>
            <w:vAlign w:val="center"/>
          </w:tcPr>
          <w:p w14:paraId="6FD7CB63" w14:textId="6C99455A" w:rsidR="00404DA4" w:rsidRPr="00EC43B6" w:rsidRDefault="00EC43B6" w:rsidP="00EF0B3B">
            <w:pPr>
              <w:spacing w:after="0"/>
              <w:rPr>
                <w:b/>
                <w:sz w:val="22"/>
                <w:szCs w:val="22"/>
              </w:rPr>
            </w:pPr>
            <w:r w:rsidRPr="00EC43B6">
              <w:rPr>
                <w:b/>
                <w:sz w:val="22"/>
                <w:szCs w:val="22"/>
                <w:lang w:bidi="es-ES"/>
              </w:rPr>
              <w:t>Meta de los ODS relacionada</w:t>
            </w:r>
          </w:p>
        </w:tc>
      </w:tr>
      <w:tr w:rsidR="0058462A" w14:paraId="661D883E" w14:textId="77777777" w:rsidTr="00EF0B3B">
        <w:tc>
          <w:tcPr>
            <w:tcW w:w="0" w:type="auto"/>
            <w:vAlign w:val="center"/>
          </w:tcPr>
          <w:p w14:paraId="2919A8C9" w14:textId="5727BB34" w:rsidR="00404DA4" w:rsidRDefault="00EC43B6" w:rsidP="00EF0B3B">
            <w:pPr>
              <w:spacing w:after="0"/>
              <w:rPr>
                <w:sz w:val="22"/>
                <w:szCs w:val="22"/>
              </w:rPr>
            </w:pPr>
            <w:r>
              <w:rPr>
                <w:sz w:val="22"/>
                <w:szCs w:val="22"/>
                <w:lang w:bidi="es-ES"/>
              </w:rPr>
              <w:t>2.2b participación pública en el plano local</w:t>
            </w:r>
          </w:p>
        </w:tc>
        <w:tc>
          <w:tcPr>
            <w:tcW w:w="0" w:type="auto"/>
            <w:vAlign w:val="center"/>
          </w:tcPr>
          <w:p w14:paraId="586CEF19" w14:textId="79C0B71E" w:rsidR="00404DA4" w:rsidRDefault="00DA5CA4" w:rsidP="00EF0B3B">
            <w:pPr>
              <w:spacing w:after="0"/>
              <w:rPr>
                <w:sz w:val="22"/>
                <w:szCs w:val="22"/>
              </w:rPr>
            </w:pPr>
            <w:hyperlink r:id="rId13" w:history="1">
              <w:r w:rsidR="00EC43B6" w:rsidRPr="00743CEC">
                <w:rPr>
                  <w:rStyle w:val="Hyperlink"/>
                  <w:rFonts w:cs="Calibri"/>
                  <w:sz w:val="22"/>
                  <w:szCs w:val="22"/>
                  <w:lang w:bidi="es-ES"/>
                </w:rPr>
                <w:t>6.b</w:t>
              </w:r>
            </w:hyperlink>
            <w:r w:rsidR="00EC43B6" w:rsidRPr="00743CEC">
              <w:rPr>
                <w:rFonts w:cs="Calibri"/>
                <w:sz w:val="22"/>
                <w:szCs w:val="22"/>
                <w:lang w:bidi="es-ES"/>
              </w:rPr>
              <w:t xml:space="preserve">: Apoyar y fortalecer la participación de las comunidades locales en la mejora de la gestión del agua y el </w:t>
            </w:r>
            <w:proofErr w:type="gramStart"/>
            <w:r w:rsidR="00EC43B6" w:rsidRPr="00743CEC">
              <w:rPr>
                <w:rFonts w:cs="Calibri"/>
                <w:sz w:val="22"/>
                <w:szCs w:val="22"/>
                <w:lang w:bidi="es-ES"/>
              </w:rPr>
              <w:t>saneamiento .</w:t>
            </w:r>
            <w:proofErr w:type="gramEnd"/>
          </w:p>
        </w:tc>
      </w:tr>
      <w:tr w:rsidR="0058462A" w14:paraId="334323DB" w14:textId="77777777" w:rsidTr="00EF0B3B">
        <w:tc>
          <w:tcPr>
            <w:tcW w:w="0" w:type="auto"/>
            <w:vAlign w:val="center"/>
          </w:tcPr>
          <w:p w14:paraId="16009D86" w14:textId="47ED693A" w:rsidR="00404DA4" w:rsidRDefault="00EC43B6" w:rsidP="00EF0B3B">
            <w:pPr>
              <w:spacing w:after="0"/>
              <w:rPr>
                <w:sz w:val="22"/>
                <w:szCs w:val="22"/>
              </w:rPr>
            </w:pPr>
            <w:r>
              <w:rPr>
                <w:sz w:val="22"/>
                <w:szCs w:val="22"/>
                <w:lang w:bidi="es-ES"/>
              </w:rPr>
              <w:t>2.2d el género en las leyes, planes u ámbitos similares</w:t>
            </w:r>
          </w:p>
        </w:tc>
        <w:tc>
          <w:tcPr>
            <w:tcW w:w="0" w:type="auto"/>
            <w:vAlign w:val="center"/>
          </w:tcPr>
          <w:p w14:paraId="30A7DFD8" w14:textId="0B197D14" w:rsidR="00404DA4" w:rsidRDefault="0058462A" w:rsidP="00EF0B3B">
            <w:pPr>
              <w:spacing w:after="0"/>
              <w:rPr>
                <w:sz w:val="22"/>
                <w:szCs w:val="22"/>
              </w:rPr>
            </w:pPr>
            <w:r>
              <w:rPr>
                <w:sz w:val="22"/>
                <w:szCs w:val="22"/>
                <w:lang w:bidi="es-ES"/>
              </w:rPr>
              <w:t>Pregunta A14.a de la encuesta de la Evaluación anual mundial sobre saneamiento y agua potable (GLAAS) de 2018-2019.</w:t>
            </w:r>
          </w:p>
        </w:tc>
      </w:tr>
      <w:tr w:rsidR="00EC43B6" w14:paraId="6AA20CAD" w14:textId="77777777" w:rsidTr="00EF0B3B">
        <w:tc>
          <w:tcPr>
            <w:tcW w:w="0" w:type="auto"/>
            <w:vAlign w:val="center"/>
          </w:tcPr>
          <w:p w14:paraId="31C35FDA" w14:textId="35856F57" w:rsidR="00EC43B6" w:rsidRDefault="00EC43B6" w:rsidP="00EF0B3B">
            <w:pPr>
              <w:spacing w:after="0"/>
              <w:rPr>
                <w:sz w:val="22"/>
                <w:szCs w:val="22"/>
              </w:rPr>
            </w:pPr>
            <w:r>
              <w:rPr>
                <w:sz w:val="22"/>
                <w:szCs w:val="22"/>
                <w:lang w:bidi="es-ES"/>
              </w:rPr>
              <w:t>3.1a monitoreo nacional de la disponibilidad del agua</w:t>
            </w:r>
          </w:p>
        </w:tc>
        <w:tc>
          <w:tcPr>
            <w:tcW w:w="0" w:type="auto"/>
            <w:vMerge w:val="restart"/>
            <w:vAlign w:val="center"/>
          </w:tcPr>
          <w:p w14:paraId="2F40F920" w14:textId="3CD586FF" w:rsidR="00EC43B6" w:rsidRDefault="00DA5CA4" w:rsidP="00EF0B3B">
            <w:pPr>
              <w:spacing w:after="0"/>
              <w:rPr>
                <w:sz w:val="22"/>
                <w:szCs w:val="22"/>
              </w:rPr>
            </w:pPr>
            <w:hyperlink r:id="rId14" w:history="1">
              <w:r w:rsidR="00EC43B6" w:rsidRPr="00EC43B6">
                <w:rPr>
                  <w:rStyle w:val="Hyperlink"/>
                  <w:sz w:val="22"/>
                  <w:szCs w:val="22"/>
                  <w:lang w:bidi="es-ES"/>
                </w:rPr>
                <w:t>6.4</w:t>
              </w:r>
            </w:hyperlink>
            <w:r w:rsidR="00EC43B6" w:rsidRPr="00EC43B6">
              <w:rPr>
                <w:sz w:val="22"/>
                <w:szCs w:val="22"/>
                <w:lang w:bidi="es-ES"/>
              </w:rPr>
              <w:t>: De aquí a 2030, aumentar considerablemente el uso eficiente de los recursos hídricos en todos los sectores y asegurar la sostenibilidad de la extracción y el abastecimiento de agua dulce para hacer frente a la escasez de agua y reducir considerablemente el número de personas que sufren falta de agua.</w:t>
            </w:r>
          </w:p>
        </w:tc>
      </w:tr>
      <w:tr w:rsidR="00EC43B6" w14:paraId="1540129E" w14:textId="77777777" w:rsidTr="00EF0B3B">
        <w:tc>
          <w:tcPr>
            <w:tcW w:w="0" w:type="auto"/>
            <w:vAlign w:val="center"/>
          </w:tcPr>
          <w:p w14:paraId="65CD30B2" w14:textId="4D5F9A9B" w:rsidR="00EC43B6" w:rsidRDefault="00EC43B6" w:rsidP="00EF0B3B">
            <w:pPr>
              <w:spacing w:after="0"/>
              <w:rPr>
                <w:sz w:val="22"/>
                <w:szCs w:val="22"/>
              </w:rPr>
            </w:pPr>
            <w:r>
              <w:rPr>
                <w:sz w:val="22"/>
                <w:szCs w:val="22"/>
                <w:lang w:bidi="es-ES"/>
              </w:rPr>
              <w:t>3.1b gestión sostenible y eficiente del uso del agua</w:t>
            </w:r>
          </w:p>
        </w:tc>
        <w:tc>
          <w:tcPr>
            <w:tcW w:w="0" w:type="auto"/>
            <w:vMerge/>
            <w:vAlign w:val="center"/>
          </w:tcPr>
          <w:p w14:paraId="0BD2136E" w14:textId="124C29AF" w:rsidR="00EC43B6" w:rsidRDefault="00EC43B6" w:rsidP="00EF0B3B">
            <w:pPr>
              <w:spacing w:after="0"/>
              <w:rPr>
                <w:sz w:val="22"/>
                <w:szCs w:val="22"/>
              </w:rPr>
            </w:pPr>
          </w:p>
        </w:tc>
      </w:tr>
      <w:tr w:rsidR="0058462A" w14:paraId="68113172" w14:textId="77777777" w:rsidTr="00EF0B3B">
        <w:tc>
          <w:tcPr>
            <w:tcW w:w="0" w:type="auto"/>
            <w:vAlign w:val="center"/>
          </w:tcPr>
          <w:p w14:paraId="5616FEF4" w14:textId="425ACD80" w:rsidR="00404DA4" w:rsidRDefault="00EC43B6" w:rsidP="00EF0B3B">
            <w:pPr>
              <w:spacing w:after="0"/>
              <w:rPr>
                <w:sz w:val="22"/>
                <w:szCs w:val="22"/>
              </w:rPr>
            </w:pPr>
            <w:r>
              <w:rPr>
                <w:sz w:val="22"/>
                <w:szCs w:val="22"/>
                <w:lang w:bidi="es-ES"/>
              </w:rPr>
              <w:t>3.1c control de la contaminación</w:t>
            </w:r>
          </w:p>
        </w:tc>
        <w:tc>
          <w:tcPr>
            <w:tcW w:w="0" w:type="auto"/>
            <w:vAlign w:val="center"/>
          </w:tcPr>
          <w:p w14:paraId="4B3FC263" w14:textId="66A8C13F" w:rsidR="00404DA4" w:rsidRDefault="00DA5CA4" w:rsidP="00EF0B3B">
            <w:pPr>
              <w:spacing w:after="0"/>
              <w:rPr>
                <w:sz w:val="22"/>
                <w:szCs w:val="22"/>
              </w:rPr>
            </w:pPr>
            <w:hyperlink r:id="rId15" w:history="1">
              <w:r w:rsidR="00EC43B6" w:rsidRPr="00743CEC">
                <w:rPr>
                  <w:rStyle w:val="Hyperlink"/>
                  <w:sz w:val="22"/>
                  <w:szCs w:val="22"/>
                  <w:lang w:bidi="es-ES"/>
                </w:rPr>
                <w:t>6.3</w:t>
              </w:r>
            </w:hyperlink>
            <w:r w:rsidR="00EC43B6" w:rsidRPr="00743CEC">
              <w:rPr>
                <w:sz w:val="22"/>
                <w:szCs w:val="22"/>
                <w:lang w:bidi="es-ES"/>
              </w:rPr>
              <w:t>: De aquí a 2030, mejorar la calidad del agua reduciendo la contaminación, eliminando el vertimiento y minimizando la emisión de productos químicos y materiales peligrosos, reduciendo a la mitad el porcentaje de aguas residuales sin tratar y aumentando considerablemente el reciclado y la reutilización sin riesgos a nivel mundial.</w:t>
            </w:r>
          </w:p>
        </w:tc>
      </w:tr>
      <w:tr w:rsidR="0058462A" w14:paraId="345DF162" w14:textId="77777777" w:rsidTr="00EF0B3B">
        <w:tc>
          <w:tcPr>
            <w:tcW w:w="0" w:type="auto"/>
            <w:vAlign w:val="center"/>
          </w:tcPr>
          <w:p w14:paraId="76A2C850" w14:textId="3271E792" w:rsidR="00404DA4" w:rsidRDefault="00EC43B6" w:rsidP="00EF0B3B">
            <w:pPr>
              <w:spacing w:after="0"/>
              <w:rPr>
                <w:sz w:val="22"/>
                <w:szCs w:val="22"/>
              </w:rPr>
            </w:pPr>
            <w:r>
              <w:rPr>
                <w:sz w:val="22"/>
                <w:szCs w:val="22"/>
                <w:lang w:bidi="es-ES"/>
              </w:rPr>
              <w:t>3.1d gestión de los ecosistemas relacionados con el agua</w:t>
            </w:r>
          </w:p>
        </w:tc>
        <w:tc>
          <w:tcPr>
            <w:tcW w:w="0" w:type="auto"/>
            <w:vAlign w:val="center"/>
          </w:tcPr>
          <w:p w14:paraId="5DEBA676" w14:textId="463FC6C5" w:rsidR="00404DA4" w:rsidRDefault="00DA5CA4" w:rsidP="00EF0B3B">
            <w:pPr>
              <w:spacing w:after="0"/>
              <w:rPr>
                <w:sz w:val="22"/>
                <w:szCs w:val="22"/>
              </w:rPr>
            </w:pPr>
            <w:hyperlink r:id="rId16" w:history="1">
              <w:r w:rsidR="00EC43B6" w:rsidRPr="00743CEC">
                <w:rPr>
                  <w:rStyle w:val="Hyperlink"/>
                  <w:sz w:val="22"/>
                  <w:szCs w:val="22"/>
                  <w:lang w:bidi="es-ES"/>
                </w:rPr>
                <w:t>6.6</w:t>
              </w:r>
            </w:hyperlink>
            <w:r w:rsidR="00EC43B6" w:rsidRPr="00743CEC">
              <w:rPr>
                <w:sz w:val="22"/>
                <w:szCs w:val="22"/>
                <w:lang w:bidi="es-ES"/>
              </w:rPr>
              <w:t>: De aquí a 2020, proteger y restablecer los ecosistemas relacionados con el agua, incluidos los bosques, las montañas, los humedales, los ríos, los acuíferos y los lagos.</w:t>
            </w:r>
          </w:p>
        </w:tc>
      </w:tr>
      <w:tr w:rsidR="0058462A" w14:paraId="350E5D52" w14:textId="77777777" w:rsidTr="00EF0B3B">
        <w:tc>
          <w:tcPr>
            <w:tcW w:w="0" w:type="auto"/>
            <w:vAlign w:val="center"/>
          </w:tcPr>
          <w:p w14:paraId="13020164" w14:textId="6FCB3A6D" w:rsidR="00404DA4" w:rsidRDefault="00EC43B6" w:rsidP="00EF0B3B">
            <w:pPr>
              <w:spacing w:after="0"/>
              <w:rPr>
                <w:sz w:val="22"/>
                <w:szCs w:val="22"/>
              </w:rPr>
            </w:pPr>
            <w:r>
              <w:rPr>
                <w:sz w:val="22"/>
                <w:szCs w:val="22"/>
                <w:lang w:bidi="es-ES"/>
              </w:rPr>
              <w:t xml:space="preserve">3.1e instrumentos de gestión encaminados a reducir el </w:t>
            </w:r>
            <w:r>
              <w:rPr>
                <w:sz w:val="22"/>
                <w:szCs w:val="22"/>
                <w:lang w:bidi="es-ES"/>
              </w:rPr>
              <w:lastRenderedPageBreak/>
              <w:t>impacto de los desastres relacionados con el agua</w:t>
            </w:r>
          </w:p>
        </w:tc>
        <w:tc>
          <w:tcPr>
            <w:tcW w:w="0" w:type="auto"/>
            <w:vAlign w:val="center"/>
          </w:tcPr>
          <w:p w14:paraId="4EFC0310" w14:textId="730A7B34" w:rsidR="00404DA4" w:rsidRDefault="00DA5CA4" w:rsidP="00EF0B3B">
            <w:pPr>
              <w:spacing w:after="0"/>
              <w:rPr>
                <w:sz w:val="22"/>
                <w:szCs w:val="22"/>
              </w:rPr>
            </w:pPr>
            <w:hyperlink r:id="rId17" w:history="1">
              <w:r w:rsidR="00EC43B6" w:rsidRPr="00D139A2">
                <w:rPr>
                  <w:rStyle w:val="Hyperlink"/>
                  <w:sz w:val="22"/>
                  <w:szCs w:val="22"/>
                  <w:lang w:bidi="es-ES"/>
                </w:rPr>
                <w:t>11.5</w:t>
              </w:r>
            </w:hyperlink>
            <w:r w:rsidR="00EC43B6" w:rsidRPr="00743CEC">
              <w:rPr>
                <w:sz w:val="22"/>
                <w:szCs w:val="22"/>
                <w:lang w:bidi="es-ES"/>
              </w:rPr>
              <w:t xml:space="preserve">: De aquí a 2030, reducir significativamente el número de muertes causadas por los desastres, incluidos los relacionados con el agua, y de </w:t>
            </w:r>
            <w:r w:rsidR="00EC43B6" w:rsidRPr="00743CEC">
              <w:rPr>
                <w:sz w:val="22"/>
                <w:szCs w:val="22"/>
                <w:lang w:bidi="es-ES"/>
              </w:rPr>
              <w:lastRenderedPageBreak/>
              <w:t xml:space="preserve">personas afectadas por ellos, y reducir considerablemente las pérdidas económicas directas provocadas por los desastres en comparación con el producto interno bruto mundial, </w:t>
            </w:r>
            <w:proofErr w:type="gramStart"/>
            <w:r w:rsidR="00EC43B6" w:rsidRPr="00743CEC">
              <w:rPr>
                <w:sz w:val="22"/>
                <w:szCs w:val="22"/>
                <w:lang w:bidi="es-ES"/>
              </w:rPr>
              <w:t>haciendo especial hincapié</w:t>
            </w:r>
            <w:proofErr w:type="gramEnd"/>
            <w:r w:rsidR="00EC43B6" w:rsidRPr="00743CEC">
              <w:rPr>
                <w:sz w:val="22"/>
                <w:szCs w:val="22"/>
                <w:lang w:bidi="es-ES"/>
              </w:rPr>
              <w:t xml:space="preserve"> en la protección de los pobres y las personas en situaciones de vulnerabilidad.</w:t>
            </w:r>
          </w:p>
        </w:tc>
      </w:tr>
    </w:tbl>
    <w:p w14:paraId="414E7FCB" w14:textId="2B0D557E" w:rsidR="000D3DBD" w:rsidRPr="00743CEC" w:rsidRDefault="007C1623" w:rsidP="00575135">
      <w:pPr>
        <w:pStyle w:val="ListParagraph"/>
        <w:numPr>
          <w:ilvl w:val="0"/>
          <w:numId w:val="11"/>
        </w:numPr>
        <w:spacing w:before="120" w:after="0"/>
        <w:ind w:left="714" w:hanging="357"/>
        <w:jc w:val="both"/>
        <w:rPr>
          <w:rFonts w:eastAsia="Times New Roman" w:cs="Times New Roman"/>
          <w:sz w:val="22"/>
          <w:szCs w:val="22"/>
        </w:rPr>
      </w:pPr>
      <w:r w:rsidRPr="00743CEC">
        <w:rPr>
          <w:rFonts w:eastAsia="Times New Roman" w:cs="Times New Roman"/>
          <w:b/>
          <w:sz w:val="22"/>
          <w:szCs w:val="22"/>
          <w:lang w:bidi="es-ES"/>
        </w:rPr>
        <w:lastRenderedPageBreak/>
        <w:t xml:space="preserve">Herramientas y documentos de apoyo </w:t>
      </w:r>
    </w:p>
    <w:p w14:paraId="602523AE" w14:textId="737EEAA8" w:rsidR="000D3DBD" w:rsidRPr="00743CEC" w:rsidRDefault="000D3DBD" w:rsidP="00B95C51">
      <w:pPr>
        <w:pStyle w:val="ListParagraph"/>
        <w:numPr>
          <w:ilvl w:val="1"/>
          <w:numId w:val="11"/>
        </w:numPr>
        <w:spacing w:after="0"/>
        <w:ind w:left="1276"/>
        <w:jc w:val="both"/>
        <w:rPr>
          <w:rFonts w:eastAsia="Times New Roman" w:cs="Times New Roman"/>
          <w:sz w:val="22"/>
          <w:szCs w:val="22"/>
        </w:rPr>
      </w:pPr>
      <w:r w:rsidRPr="00743CEC">
        <w:rPr>
          <w:rFonts w:eastAsia="Times New Roman" w:cs="Times New Roman"/>
          <w:sz w:val="22"/>
          <w:szCs w:val="22"/>
          <w:lang w:bidi="es-ES"/>
        </w:rPr>
        <w:t xml:space="preserve">La encuesta está disponible en formato Microsoft Word, de manera que puede compartirse fácilmente con las partes interesadas, ya sea en formato digital o impreso. </w:t>
      </w:r>
    </w:p>
    <w:p w14:paraId="1AF5B274" w14:textId="68D84620" w:rsidR="006E5E63" w:rsidRPr="00743CEC" w:rsidRDefault="00F66A02" w:rsidP="00B95C51">
      <w:pPr>
        <w:pStyle w:val="ListParagraph"/>
        <w:numPr>
          <w:ilvl w:val="1"/>
          <w:numId w:val="11"/>
        </w:numPr>
        <w:spacing w:after="0"/>
        <w:ind w:left="1276"/>
        <w:jc w:val="both"/>
        <w:rPr>
          <w:rFonts w:eastAsia="Times New Roman" w:cs="Times New Roman"/>
          <w:sz w:val="22"/>
          <w:szCs w:val="22"/>
        </w:rPr>
      </w:pPr>
      <w:r w:rsidRPr="00743CEC">
        <w:rPr>
          <w:rFonts w:eastAsia="Times New Roman" w:cs="Times New Roman"/>
          <w:sz w:val="22"/>
          <w:szCs w:val="22"/>
          <w:lang w:bidi="es-ES"/>
        </w:rPr>
        <w:t xml:space="preserve">También está disponible una «ficha descriptiva» recapitulativa con los resultados de los países que cumplimentaron la encuesta de referencia, la cual puede suponer un punto de partida útil para iniciar debates e implicar a diversas partes interesadas en el proceso. </w:t>
      </w:r>
    </w:p>
    <w:p w14:paraId="3E07DC2A" w14:textId="2C22D187" w:rsidR="00DF586A" w:rsidRPr="00743CEC" w:rsidRDefault="002609E8" w:rsidP="00FD1938">
      <w:pPr>
        <w:pStyle w:val="ListParagraph"/>
        <w:numPr>
          <w:ilvl w:val="0"/>
          <w:numId w:val="11"/>
        </w:numPr>
        <w:spacing w:after="0"/>
        <w:jc w:val="both"/>
        <w:rPr>
          <w:sz w:val="22"/>
          <w:szCs w:val="22"/>
        </w:rPr>
      </w:pPr>
      <w:r w:rsidRPr="00743CEC">
        <w:rPr>
          <w:rFonts w:eastAsia="Times New Roman" w:cs="Times New Roman"/>
          <w:b/>
          <w:sz w:val="22"/>
          <w:szCs w:val="22"/>
          <w:lang w:bidi="es-ES"/>
        </w:rPr>
        <w:t xml:space="preserve">Idiomas: </w:t>
      </w:r>
      <w:r w:rsidRPr="00743CEC">
        <w:rPr>
          <w:rFonts w:eastAsia="Times New Roman" w:cs="Times New Roman"/>
          <w:sz w:val="22"/>
          <w:szCs w:val="22"/>
          <w:lang w:bidi="es-ES"/>
        </w:rPr>
        <w:t xml:space="preserve">ONU Medio Ambiente facilita tanto la presente guía de monitoreo como la </w:t>
      </w:r>
      <w:bookmarkStart w:id="0" w:name="_Hlk19614030"/>
      <w:r w:rsidRPr="00743CEC">
        <w:rPr>
          <w:rFonts w:eastAsia="Times New Roman" w:cs="Times New Roman"/>
          <w:sz w:val="22"/>
          <w:szCs w:val="22"/>
          <w:lang w:bidi="es-ES"/>
        </w:rPr>
        <w:t>encuesta en los seis idiomas oficiales de las Naciones Unidas (árabe, chino, español, francés, inglés y ruso), además de en portugués.</w:t>
      </w:r>
      <w:bookmarkEnd w:id="0"/>
    </w:p>
    <w:p w14:paraId="480C9972" w14:textId="605D6F99" w:rsidR="00590700" w:rsidRPr="00743CEC" w:rsidRDefault="000B5851" w:rsidP="00BB44C5">
      <w:pPr>
        <w:ind w:left="284"/>
        <w:rPr>
          <w:rFonts w:eastAsia="Times New Roman" w:cs="Times New Roman"/>
          <w:sz w:val="22"/>
          <w:szCs w:val="22"/>
        </w:rPr>
      </w:pPr>
      <w:r w:rsidRPr="00743CEC">
        <w:rPr>
          <w:noProof/>
          <w:sz w:val="22"/>
          <w:szCs w:val="22"/>
          <w:lang w:bidi="es-ES"/>
        </w:rPr>
        <mc:AlternateContent>
          <mc:Choice Requires="wps">
            <w:drawing>
              <wp:inline distT="0" distB="0" distL="0" distR="0" wp14:anchorId="2EFC67C7" wp14:editId="0A52A37D">
                <wp:extent cx="6312535" cy="2370125"/>
                <wp:effectExtent l="0" t="0" r="37465" b="17780"/>
                <wp:docPr id="2" name="Text Box 2"/>
                <wp:cNvGraphicFramePr/>
                <a:graphic xmlns:a="http://schemas.openxmlformats.org/drawingml/2006/main">
                  <a:graphicData uri="http://schemas.microsoft.com/office/word/2010/wordprocessingShape">
                    <wps:wsp>
                      <wps:cNvSpPr txBox="1"/>
                      <wps:spPr>
                        <a:xfrm>
                          <a:off x="0" y="0"/>
                          <a:ext cx="6312535" cy="2370125"/>
                        </a:xfrm>
                        <a:prstGeom prst="rect">
                          <a:avLst/>
                        </a:prstGeom>
                        <a:noFill/>
                        <a:ln>
                          <a:solidFill>
                            <a:schemeClr val="tx1"/>
                          </a:solid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113A8D1C" w14:textId="7A280B02" w:rsidR="002F2C0A" w:rsidRPr="00463F0B" w:rsidRDefault="002F2C0A" w:rsidP="000B5851">
                            <w:pPr>
                              <w:rPr>
                                <w:b/>
                              </w:rPr>
                            </w:pPr>
                            <w:r w:rsidRPr="00FD1938">
                              <w:rPr>
                                <w:b/>
                                <w:lang w:bidi="es-ES"/>
                              </w:rPr>
                              <w:t>Cuadro 1: El proceso nacional de Uganda durante la fase piloto como fuente de inspiración</w:t>
                            </w:r>
                          </w:p>
                          <w:p w14:paraId="5153FD26" w14:textId="77777777" w:rsidR="002F2C0A" w:rsidRPr="00463F0B" w:rsidRDefault="002F2C0A" w:rsidP="000B5851">
                            <w:pPr>
                              <w:rPr>
                                <w:bCs/>
                              </w:rPr>
                            </w:pPr>
                            <w:r w:rsidRPr="00FD1938">
                              <w:rPr>
                                <w:lang w:bidi="es-ES"/>
                              </w:rPr>
                              <w:t xml:space="preserve">La coordinación del proceso nacional corrió a cargo de la Dirección de Gestión de los Recursos Hídricos y el Ministerio de Agua y Medio Ambiente. </w:t>
                            </w:r>
                          </w:p>
                          <w:p w14:paraId="4CAF3480" w14:textId="6D3B41D0" w:rsidR="002F2C0A" w:rsidRPr="00463F0B" w:rsidRDefault="002F2C0A" w:rsidP="000B5851">
                            <w:pPr>
                              <w:rPr>
                                <w:bCs/>
                              </w:rPr>
                            </w:pPr>
                            <w:r w:rsidRPr="00FD1938">
                              <w:rPr>
                                <w:lang w:bidi="es-ES"/>
                              </w:rPr>
                              <w:t xml:space="preserve">Paso 1: Se estableció un equipo de tareas compuesto de representantes de diferentes sectores y partes interesadas. </w:t>
                            </w:r>
                          </w:p>
                          <w:p w14:paraId="1C7D4E1E" w14:textId="581D9AF3" w:rsidR="002F2C0A" w:rsidRPr="00463F0B" w:rsidRDefault="002F2C0A" w:rsidP="000B5851">
                            <w:pPr>
                              <w:rPr>
                                <w:bCs/>
                              </w:rPr>
                            </w:pPr>
                            <w:r w:rsidRPr="00FD1938">
                              <w:rPr>
                                <w:lang w:bidi="es-ES"/>
                              </w:rPr>
                              <w:t xml:space="preserve">Paso 2: En numerosas consultas, oficiales o no, diversas partes interesadas cumplimentaron la encuesta por correo electrónico, a través de llamadas telefónicas o de forma manual. </w:t>
                            </w:r>
                          </w:p>
                          <w:p w14:paraId="1C116441" w14:textId="3EAB0FCB" w:rsidR="002F2C0A" w:rsidRPr="00463F0B" w:rsidRDefault="002F2C0A" w:rsidP="000B5851">
                            <w:pPr>
                              <w:rPr>
                                <w:bCs/>
                              </w:rPr>
                            </w:pPr>
                            <w:r w:rsidRPr="00FD1938">
                              <w:rPr>
                                <w:lang w:bidi="es-ES"/>
                              </w:rPr>
                              <w:t xml:space="preserve">Paso 3: El equipo de tareas compiló y analizó los resultados de las encuestas, prestando especial atención a cómo variaban las respuestas en cada pregunta. </w:t>
                            </w:r>
                          </w:p>
                          <w:p w14:paraId="222EBCCE" w14:textId="4F0890A1" w:rsidR="002F2C0A" w:rsidRPr="00463F0B" w:rsidRDefault="002F2C0A" w:rsidP="000B5851">
                            <w:r w:rsidRPr="00FD1938">
                              <w:rPr>
                                <w:lang w:bidi="es-ES"/>
                              </w:rPr>
                              <w:t xml:space="preserve">Paso 4: Se celebró un gran taller en el que participaron numerosas partes interesadas a fin de tratar los resultados y alcanzar un consenso en cuanto a las respuestas finales.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inline>
            </w:drawing>
          </mc:Choice>
          <mc:Fallback>
            <w:pict>
              <v:shapetype w14:anchorId="2EFC67C7" id="_x0000_t202" coordsize="21600,21600" o:spt="202" path="m,l,21600r21600,l21600,xe">
                <v:stroke joinstyle="miter"/>
                <v:path gradientshapeok="t" o:connecttype="rect"/>
              </v:shapetype>
              <v:shape id="Text Box 2" o:spid="_x0000_s1026" type="#_x0000_t202" style="width:497.05pt;height:186.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" filled="f" strokecolor="black [3213]">
                <v:textbox>
                  <w:txbxContent>
                    <w:p w14:paraId="113A8D1C" w14:textId="7A280B02" w:rsidR="002F2C0A" w:rsidRPr="00463F0B" w:rsidRDefault="002F2C0A" w:rsidP="000B5851">
                      <w:pPr>
                        <w:rPr>
                          <w:b/>
                        </w:rPr>
                      </w:pPr>
                      <w:r w:rsidRPr="00FD1938">
                        <w:rPr>
                          <w:b/>
                          <w:lang w:bidi="es-ES"/>
                        </w:rPr>
                        <w:t>Cuadro 1: El proceso nacional de Uganda durante la fase piloto como fuente de inspiración</w:t>
                      </w:r>
                    </w:p>
                    <w:p w14:paraId="5153FD26" w14:textId="77777777" w:rsidR="002F2C0A" w:rsidRPr="00463F0B" w:rsidRDefault="002F2C0A" w:rsidP="000B5851">
                      <w:pPr>
                        <w:rPr>
                          <w:bCs/>
                        </w:rPr>
                      </w:pPr>
                      <w:r w:rsidRPr="00FD1938">
                        <w:rPr>
                          <w:lang w:bidi="es-ES"/>
                        </w:rPr>
                        <w:t xml:space="preserve">La coordinación del proceso nacional corrió a cargo de la Dirección de Gestión de los Recursos Hídricos y el Ministerio de Agua y Medio Ambiente. </w:t>
                      </w:r>
                    </w:p>
                    <w:p w14:paraId="4CAF3480" w14:textId="6D3B41D0" w:rsidR="002F2C0A" w:rsidRPr="00463F0B" w:rsidRDefault="002F2C0A" w:rsidP="000B5851">
                      <w:pPr>
                        <w:rPr>
                          <w:bCs/>
                        </w:rPr>
                      </w:pPr>
                      <w:r w:rsidRPr="00FD1938">
                        <w:rPr>
                          <w:lang w:bidi="es-ES"/>
                        </w:rPr>
                        <w:t xml:space="preserve">Paso 1: Se estableció un equipo de tareas compuesto de representantes de diferentes sectores y partes interesadas. </w:t>
                      </w:r>
                    </w:p>
                    <w:p w14:paraId="1C7D4E1E" w14:textId="581D9AF3" w:rsidR="002F2C0A" w:rsidRPr="00463F0B" w:rsidRDefault="002F2C0A" w:rsidP="000B5851">
                      <w:pPr>
                        <w:rPr>
                          <w:bCs/>
                        </w:rPr>
                      </w:pPr>
                      <w:r w:rsidRPr="00FD1938">
                        <w:rPr>
                          <w:lang w:bidi="es-ES"/>
                        </w:rPr>
                        <w:t xml:space="preserve">Paso 2: En numerosas consultas, oficiales o no, diversas partes interesadas cumplimentaron la encuesta por correo electrónico, a través de llamadas telefónicas o de forma manual. </w:t>
                      </w:r>
                    </w:p>
                    <w:p w14:paraId="1C116441" w14:textId="3EAB0FCB" w:rsidR="002F2C0A" w:rsidRPr="00463F0B" w:rsidRDefault="002F2C0A" w:rsidP="000B5851">
                      <w:pPr>
                        <w:rPr>
                          <w:bCs/>
                        </w:rPr>
                      </w:pPr>
                      <w:r w:rsidRPr="00FD1938">
                        <w:rPr>
                          <w:lang w:bidi="es-ES"/>
                        </w:rPr>
                        <w:t xml:space="preserve">Paso 3: El equipo de tareas compiló y analizó los resultados de las encuestas, prestando especial atención a cómo variaban las respuestas en cada pregunta. </w:t>
                      </w:r>
                    </w:p>
                    <w:p w14:paraId="222EBCCE" w14:textId="4F0890A1" w:rsidR="002F2C0A" w:rsidRPr="00463F0B" w:rsidRDefault="002F2C0A" w:rsidP="000B5851">
                      <w:r w:rsidRPr="00FD1938">
                        <w:rPr>
                          <w:lang w:bidi="es-ES"/>
                        </w:rPr>
                        <w:t xml:space="preserve">Paso 4: Se celebró un gran taller en el que participaron numerosas partes interesadas a fin de tratar los resultados y alcanzar un consenso en cuanto a las respuestas finales. </w:t>
                      </w:r>
                    </w:p>
                  </w:txbxContent>
                </v:textbox>
                <w10:anchorlock/>
              </v:shape>
            </w:pict>
          </mc:Fallback>
        </mc:AlternateContent>
      </w:r>
    </w:p>
    <w:p w14:paraId="63FBA27E" w14:textId="3B387EA7" w:rsidR="00B278A6" w:rsidRPr="00743CEC" w:rsidRDefault="00B278A6" w:rsidP="00AC3EAC">
      <w:pPr>
        <w:rPr>
          <w:sz w:val="22"/>
          <w:szCs w:val="22"/>
          <w:lang w:val="en-GB"/>
        </w:rPr>
      </w:pPr>
    </w:p>
    <w:p w14:paraId="50D094B6" w14:textId="3156BCF7" w:rsidR="00AC3EAC" w:rsidRPr="00743CEC" w:rsidRDefault="00777A7D" w:rsidP="00AB2845">
      <w:pPr>
        <w:pStyle w:val="Heading1"/>
      </w:pPr>
      <w:r w:rsidRPr="00743CEC">
        <w:rPr>
          <w:lang w:val="es-ES" w:bidi="es-ES"/>
        </w:rPr>
        <w:t>Establecimiento de objetivos</w:t>
      </w:r>
    </w:p>
    <w:p w14:paraId="6D6C043F" w14:textId="74257A9D" w:rsidR="00F8146D" w:rsidRPr="00463F0B" w:rsidRDefault="00F8146D" w:rsidP="006D537B">
      <w:pPr>
        <w:jc w:val="both"/>
        <w:rPr>
          <w:sz w:val="22"/>
          <w:szCs w:val="22"/>
        </w:rPr>
      </w:pPr>
      <w:r w:rsidRPr="00743CEC">
        <w:rPr>
          <w:sz w:val="22"/>
          <w:szCs w:val="22"/>
          <w:lang w:bidi="es-ES"/>
        </w:rPr>
        <w:t xml:space="preserve">El ambicioso objetivo mundial en lo relativo al indicador 6.5.1 consiste en lograr un nivel de implementación «muy alto» de aquí a 2030; una puntuación de 91 sobre 100. No obstante, habida cuenta de que es posible que se necesiten decenios para conseguir una implementación integral y de que los puntos de partida, prioridades y capacidades de los países son diferentes, estos pueden establecer sus objetivos nacionales guiándose por la ambiciosa aspiración </w:t>
      </w:r>
      <w:proofErr w:type="gramStart"/>
      <w:r w:rsidRPr="00743CEC">
        <w:rPr>
          <w:sz w:val="22"/>
          <w:szCs w:val="22"/>
          <w:lang w:bidi="es-ES"/>
        </w:rPr>
        <w:t>general</w:t>
      </w:r>
      <w:proofErr w:type="gramEnd"/>
      <w:r w:rsidRPr="00743CEC">
        <w:rPr>
          <w:sz w:val="22"/>
          <w:szCs w:val="22"/>
          <w:lang w:bidi="es-ES"/>
        </w:rPr>
        <w:t xml:space="preserve"> pero tomando en consideración las circunstancias del país (véase el cuadro 2). </w:t>
      </w:r>
    </w:p>
    <w:p w14:paraId="63EBD760" w14:textId="77777777" w:rsidR="00F8146D" w:rsidRPr="00463F0B" w:rsidRDefault="00F8146D" w:rsidP="006D537B">
      <w:pPr>
        <w:jc w:val="both"/>
        <w:rPr>
          <w:sz w:val="22"/>
          <w:szCs w:val="22"/>
        </w:rPr>
      </w:pPr>
      <w:r w:rsidRPr="00743CEC">
        <w:rPr>
          <w:sz w:val="22"/>
          <w:szCs w:val="22"/>
          <w:lang w:bidi="es-ES"/>
        </w:rPr>
        <w:t xml:space="preserve">A pesar de no constituir un requisito en el proceso de presentación de informes de la segunda fase de recopilación de datos sobre el indicador 6.5.1, el establecimiento de objetivos nacionales facilitará y acelerará la implementación de la GIRH, de manera que se avanzará hacia la consecución de la meta 6.5 de los ODS. Pueden establecerse objetivos para la puntuación global del indicador (implementación de la GIRH) o para cada una de las preguntas en el marco más amplio de los procesos de planificación nacional. Dichos objetivos se pueden establecer de aquí a 2030, o ser objetivos finales para después de 2030 u objetivos provisionales. Cuando existan objetivos, estos pueden describirse en el campo «Formas de avanzar» de las preguntas o en el anexo C si se trata de objetivos más globales. </w:t>
      </w:r>
    </w:p>
    <w:p w14:paraId="1CFB7E24" w14:textId="5482E045" w:rsidR="0075651E" w:rsidRDefault="009E6338" w:rsidP="00F8146D">
      <w:pPr>
        <w:rPr>
          <w:sz w:val="22"/>
          <w:szCs w:val="22"/>
          <w:lang w:val="en-GB"/>
        </w:rPr>
      </w:pPr>
      <w:r>
        <w:rPr>
          <w:noProof/>
          <w:sz w:val="22"/>
          <w:szCs w:val="22"/>
          <w:lang w:bidi="es-ES"/>
        </w:rPr>
        <w:lastRenderedPageBreak/>
        <mc:AlternateContent>
          <mc:Choice Requires="wps">
            <w:drawing>
              <wp:inline distT="0" distB="0" distL="0" distR="0" wp14:anchorId="62A9ED2F" wp14:editId="57824FAB">
                <wp:extent cx="6515100" cy="916940"/>
                <wp:effectExtent l="0" t="0" r="38100" b="31750"/>
                <wp:docPr id="3" name="Text Box 3"/>
                <wp:cNvGraphicFramePr/>
                <a:graphic xmlns:a="http://schemas.openxmlformats.org/drawingml/2006/main">
                  <a:graphicData uri="http://schemas.microsoft.com/office/word/2010/wordprocessingShape">
                    <wps:wsp>
                      <wps:cNvSpPr txBox="1"/>
                      <wps:spPr>
                        <a:xfrm>
                          <a:off x="0" y="0"/>
                          <a:ext cx="6515100" cy="916940"/>
                        </a:xfrm>
                        <a:prstGeom prst="rect">
                          <a:avLst/>
                        </a:prstGeom>
                        <a:noFill/>
                        <a:ln>
                          <a:solidFill>
                            <a:schemeClr val="tx1"/>
                          </a:solidFill>
                        </a:ln>
                        <a:effectLst/>
                      </wps:spPr>
                      <wps:style>
                        <a:lnRef idx="0">
                          <a:schemeClr val="accent1"/>
                        </a:lnRef>
                        <a:fillRef idx="0">
                          <a:schemeClr val="accent1"/>
                        </a:fillRef>
                        <a:effectRef idx="0">
                          <a:schemeClr val="accent1"/>
                        </a:effectRef>
                        <a:fontRef idx="minor">
                          <a:schemeClr val="dk1"/>
                        </a:fontRef>
                      </wps:style>
                      <wps:txbx>
                        <w:txbxContent>
                          <w:p w14:paraId="25E08873" w14:textId="77777777" w:rsidR="009E6338" w:rsidRPr="00463F0B" w:rsidRDefault="009E6338" w:rsidP="009E6338">
                            <w:pPr>
                              <w:rPr>
                                <w:b/>
                              </w:rPr>
                            </w:pPr>
                            <w:r w:rsidRPr="00F013BF">
                              <w:rPr>
                                <w:b/>
                                <w:lang w:bidi="es-ES"/>
                              </w:rPr>
                              <w:t>Cuadro 2: Extracto de la resolución sobre la Agenda 2030, párrafo 55.</w:t>
                            </w:r>
                          </w:p>
                          <w:p w14:paraId="019F5B87" w14:textId="5CDDDBA2" w:rsidR="009E6338" w:rsidRDefault="009E6338" w:rsidP="009E6338">
                            <w:r w:rsidRPr="0054448C">
                              <w:rPr>
                                <w:lang w:bidi="es-ES"/>
                              </w:rPr>
                              <w:t xml:space="preserve">Los Objetivos de Desarrollo Sostenible y sus metas son de carácter integrado e indivisible, de alcance mundial y de aplicación universal, tienen en cuenta las diferentes realidades, capacidades y niveles de desarrollo de cada país y respetan sus políticas y prioridades nacionales. Si bien las metas expresan las aspiraciones a nivel mundial, cada gobierno fijará sus propias metas nacionales, guiándose por la ambiciosa aspiración </w:t>
                            </w:r>
                            <w:proofErr w:type="gramStart"/>
                            <w:r w:rsidRPr="0054448C">
                              <w:rPr>
                                <w:lang w:bidi="es-ES"/>
                              </w:rPr>
                              <w:t>general</w:t>
                            </w:r>
                            <w:proofErr w:type="gramEnd"/>
                            <w:r w:rsidRPr="0054448C">
                              <w:rPr>
                                <w:lang w:bidi="es-ES"/>
                              </w:rPr>
                              <w:t xml:space="preserve"> pero tomando en consideración las circunstancias del país. Cada gobierno decidirá también la forma de incorporar esas aspiraciones y metas mundiales en los procesos de planificación, las políticas y las estrategias nacionales. Es importante reconocer el vínculo que existe entre el desarrollo sostenible y otros procesos pertinentes que se están llevando a cabo en las esferas económica, social y ambiental.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spAutoFit/>
                      </wps:bodyPr>
                    </wps:wsp>
                  </a:graphicData>
                </a:graphic>
              </wp:inline>
            </w:drawing>
          </mc:Choice>
          <mc:Fallback>
            <w:pict>
              <v:shape w14:anchorId="62A9ED2F" id="Text Box 3" o:spid="_x0000_s1027" type="#_x0000_t202" style="width:513pt;height:72.2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" filled="f" strokecolor="black [3213]">
                <v:textbox style="mso-fit-shape-to-text:t">
                  <w:txbxContent>
                    <w:p w14:paraId="25E08873" w14:textId="77777777" w:rsidR="009E6338" w:rsidRPr="00463F0B" w:rsidRDefault="009E6338" w:rsidP="009E6338">
                      <w:pPr>
                        <w:rPr>
                          <w:b/>
                        </w:rPr>
                      </w:pPr>
                      <w:r w:rsidRPr="00F013BF">
                        <w:rPr>
                          <w:b/>
                          <w:lang w:bidi="es-ES"/>
                        </w:rPr>
                        <w:t>Cuadro 2: Extracto de la resolución sobre la Agenda 2030, párrafo 55.</w:t>
                      </w:r>
                    </w:p>
                    <w:p w14:paraId="019F5B87" w14:textId="5CDDDBA2" w:rsidR="009E6338" w:rsidRDefault="009E6338" w:rsidP="009E6338">
                      <w:r w:rsidRPr="0054448C">
                        <w:rPr>
                          <w:lang w:bidi="es-ES"/>
                        </w:rPr>
                        <w:t>Los Objetivos de Desarrollo Sostenible y sus metas son de carácter integrado e indivisible, de alcance mundial y de aplicación universal, tienen en cuenta las diferentes realidades, capacidades y niveles de desarrollo de cada país y respetan sus políticas y prioridades nacionales. Si bien las metas expresan las aspiraciones a nivel mundial, cada gobierno fijará sus propias metas nacionales, guiándose por la ambiciosa aspiración general pero tomando en consideración las circunstancias del país. Cada gobierno decidirá también la forma de incorporar esas aspiraciones y metas mundiales en los procesos de planificación, las políticas y las estrategias nacionales. Es importante reconocer el vínculo que existe entre el desarrollo sostenible y otros procesos pertinentes que se están llevando a cabo en las esferas económica, social y ambiental.</w:t>
                      </w:r>
                    </w:p>
                  </w:txbxContent>
                </v:textbox>
                <w10:anchorlock/>
              </v:shape>
            </w:pict>
          </mc:Fallback>
        </mc:AlternateContent>
      </w:r>
    </w:p>
    <w:p w14:paraId="69B26CB1" w14:textId="086A8FF5" w:rsidR="00F8146D" w:rsidRPr="00463F0B" w:rsidRDefault="00F8146D" w:rsidP="006D537B">
      <w:pPr>
        <w:jc w:val="both"/>
        <w:rPr>
          <w:sz w:val="22"/>
          <w:szCs w:val="22"/>
        </w:rPr>
      </w:pPr>
      <w:r w:rsidRPr="00743CEC">
        <w:rPr>
          <w:sz w:val="22"/>
          <w:szCs w:val="22"/>
          <w:lang w:bidi="es-ES"/>
        </w:rPr>
        <w:t xml:space="preserve">Una de las principales ventajas de la encuesta es la posibilidad de desglosar la información por componente y pregunta, lo que permite que los países realicen una evaluación rápida de los aspectos de la GIRH en los que se está avanzando y aquellos en los que puede que sea necesario intensificar los esfuerzos. </w:t>
      </w:r>
    </w:p>
    <w:p w14:paraId="7D00B4F0" w14:textId="4BBE15D4" w:rsidR="00F8146D" w:rsidRPr="00463F0B" w:rsidRDefault="00F8146D" w:rsidP="006D537B">
      <w:pPr>
        <w:jc w:val="both"/>
        <w:rPr>
          <w:sz w:val="22"/>
          <w:szCs w:val="22"/>
        </w:rPr>
      </w:pPr>
      <w:r w:rsidRPr="00743CEC">
        <w:rPr>
          <w:sz w:val="22"/>
          <w:szCs w:val="22"/>
          <w:lang w:bidi="es-ES"/>
        </w:rPr>
        <w:t xml:space="preserve">A grandes rasgos, la puntuación total se puede interpretar del siguiente modo basándose en el «grado de implementación de la GIRH» </w:t>
      </w:r>
      <w:r w:rsidRPr="00743CEC">
        <w:rPr>
          <w:b/>
          <w:sz w:val="22"/>
          <w:szCs w:val="22"/>
          <w:lang w:bidi="es-ES"/>
        </w:rPr>
        <w:t>(no obstante, en la encuesta se explica con más detalle cómo interpretar cada pregunta)</w:t>
      </w:r>
      <w:r w:rsidRPr="00743CEC">
        <w:rPr>
          <w:sz w:val="22"/>
          <w:szCs w:val="22"/>
          <w:lang w:bidi="es-ES"/>
        </w:rPr>
        <w:t xml:space="preserve">. </w:t>
      </w:r>
    </w:p>
    <w:p w14:paraId="1F2A57F2" w14:textId="42D81005" w:rsidR="00F8146D" w:rsidRPr="00463F0B" w:rsidRDefault="00F8146D" w:rsidP="00F8146D">
      <w:pPr>
        <w:pStyle w:val="ListParagraph"/>
        <w:numPr>
          <w:ilvl w:val="0"/>
          <w:numId w:val="12"/>
        </w:numPr>
        <w:rPr>
          <w:sz w:val="22"/>
          <w:szCs w:val="22"/>
        </w:rPr>
      </w:pPr>
      <w:r w:rsidRPr="00743CEC">
        <w:rPr>
          <w:sz w:val="22"/>
          <w:szCs w:val="22"/>
          <w:lang w:bidi="es-ES"/>
        </w:rPr>
        <w:t xml:space="preserve">0-10: Muy bajo: en general, el desarrollo de los elementos de la GIRH no ha comenzado o se ha detenido. </w:t>
      </w:r>
    </w:p>
    <w:p w14:paraId="367CA306" w14:textId="77777777" w:rsidR="00F8146D" w:rsidRPr="00463F0B" w:rsidRDefault="00F8146D" w:rsidP="00F8146D">
      <w:pPr>
        <w:pStyle w:val="ListParagraph"/>
        <w:numPr>
          <w:ilvl w:val="0"/>
          <w:numId w:val="12"/>
        </w:numPr>
        <w:rPr>
          <w:sz w:val="22"/>
          <w:szCs w:val="22"/>
        </w:rPr>
      </w:pPr>
      <w:r w:rsidRPr="00743CEC">
        <w:rPr>
          <w:sz w:val="22"/>
          <w:szCs w:val="22"/>
          <w:lang w:bidi="es-ES"/>
        </w:rPr>
        <w:t xml:space="preserve">11-30: Bajo: en general, la implementación de los elementos de la GIRH ha comenzado, pero la adopción en el ámbito nacional es limitada y el nivel potencial de participación de los grupos de interesados tiende a ser bajo. </w:t>
      </w:r>
    </w:p>
    <w:p w14:paraId="6686FB4A" w14:textId="77777777" w:rsidR="00F8146D" w:rsidRPr="00463F0B" w:rsidRDefault="00F8146D" w:rsidP="00F8146D">
      <w:pPr>
        <w:pStyle w:val="ListParagraph"/>
        <w:numPr>
          <w:ilvl w:val="0"/>
          <w:numId w:val="12"/>
        </w:numPr>
        <w:rPr>
          <w:sz w:val="22"/>
          <w:szCs w:val="22"/>
        </w:rPr>
      </w:pPr>
      <w:r w:rsidRPr="00743CEC">
        <w:rPr>
          <w:sz w:val="22"/>
          <w:szCs w:val="22"/>
          <w:lang w:bidi="es-ES"/>
        </w:rPr>
        <w:t xml:space="preserve">31-50: Medio bajo: en general, los elementos de la GIRH se han institucionalizado y se están implementando. </w:t>
      </w:r>
    </w:p>
    <w:p w14:paraId="6363251D" w14:textId="6AECC90C" w:rsidR="00F8146D" w:rsidRPr="00463F0B" w:rsidRDefault="00F8146D" w:rsidP="00F8146D">
      <w:pPr>
        <w:pStyle w:val="ListParagraph"/>
        <w:numPr>
          <w:ilvl w:val="0"/>
          <w:numId w:val="12"/>
        </w:numPr>
        <w:rPr>
          <w:sz w:val="22"/>
          <w:szCs w:val="22"/>
        </w:rPr>
      </w:pPr>
      <w:r w:rsidRPr="00743CEC">
        <w:rPr>
          <w:sz w:val="22"/>
          <w:szCs w:val="22"/>
          <w:lang w:bidi="es-ES"/>
        </w:rPr>
        <w:t xml:space="preserve">51-70: Medio alto: en general, la capacidad para implementar los elementos de la GIRH es apropiada y los elementos se están implementando en el marco de programas a largo plazo. </w:t>
      </w:r>
    </w:p>
    <w:p w14:paraId="6D93C491" w14:textId="61AEEA24" w:rsidR="00F8146D" w:rsidRPr="00463F0B" w:rsidRDefault="00F8146D" w:rsidP="00F8146D">
      <w:pPr>
        <w:pStyle w:val="ListParagraph"/>
        <w:numPr>
          <w:ilvl w:val="0"/>
          <w:numId w:val="12"/>
        </w:numPr>
        <w:rPr>
          <w:sz w:val="22"/>
          <w:szCs w:val="22"/>
        </w:rPr>
      </w:pPr>
      <w:r w:rsidRPr="00743CEC">
        <w:rPr>
          <w:sz w:val="22"/>
          <w:szCs w:val="22"/>
          <w:lang w:bidi="es-ES"/>
        </w:rPr>
        <w:t xml:space="preserve">71-90: Alto: en general, se están cumpliendo los objetivos en materia de GIRH de los planes y programas, y la cobertura geográfica y la participación de las partes interesadas </w:t>
      </w:r>
      <w:r w:rsidR="00145BEF">
        <w:rPr>
          <w:sz w:val="22"/>
          <w:szCs w:val="22"/>
          <w:lang w:bidi="es-ES"/>
        </w:rPr>
        <w:t>son</w:t>
      </w:r>
      <w:r w:rsidRPr="00743CEC">
        <w:rPr>
          <w:sz w:val="22"/>
          <w:szCs w:val="22"/>
          <w:lang w:bidi="es-ES"/>
        </w:rPr>
        <w:t xml:space="preserve"> adecuada</w:t>
      </w:r>
      <w:r w:rsidR="00145BEF">
        <w:rPr>
          <w:sz w:val="22"/>
          <w:szCs w:val="22"/>
          <w:lang w:bidi="es-ES"/>
        </w:rPr>
        <w:t>s</w:t>
      </w:r>
      <w:r w:rsidRPr="00743CEC">
        <w:rPr>
          <w:sz w:val="22"/>
          <w:szCs w:val="22"/>
          <w:lang w:bidi="es-ES"/>
        </w:rPr>
        <w:t xml:space="preserve">. </w:t>
      </w:r>
    </w:p>
    <w:p w14:paraId="58E8D241" w14:textId="64945471" w:rsidR="00F8146D" w:rsidRPr="00463F0B" w:rsidRDefault="00F8146D" w:rsidP="00F8146D">
      <w:pPr>
        <w:pStyle w:val="ListParagraph"/>
        <w:numPr>
          <w:ilvl w:val="0"/>
          <w:numId w:val="12"/>
        </w:numPr>
        <w:rPr>
          <w:sz w:val="22"/>
          <w:szCs w:val="22"/>
        </w:rPr>
      </w:pPr>
      <w:r w:rsidRPr="00743CEC">
        <w:rPr>
          <w:sz w:val="22"/>
          <w:szCs w:val="22"/>
          <w:lang w:bidi="es-ES"/>
        </w:rPr>
        <w:t xml:space="preserve">91-100: Muy alto: se han implementado de forma plena la gran mayoría de los elementos de la GIRH, se logran los objetivos sistemáticamente, y se evalúan y revisan los planes y programas de forma periódica. </w:t>
      </w:r>
    </w:p>
    <w:p w14:paraId="0D4E81F1" w14:textId="7E550260" w:rsidR="007D6DEA" w:rsidRPr="00463F0B" w:rsidRDefault="007D6DEA" w:rsidP="0058462A">
      <w:pPr>
        <w:pStyle w:val="Heading1"/>
        <w:rPr>
          <w:lang w:val="es-ES"/>
        </w:rPr>
      </w:pPr>
      <w:r>
        <w:rPr>
          <w:lang w:val="es-ES" w:bidi="es-ES"/>
        </w:rPr>
        <w:t>Aplicación de la encuesta a la planificación nacional</w:t>
      </w:r>
    </w:p>
    <w:p w14:paraId="3CBF9866" w14:textId="77777777" w:rsidR="007D6DEA" w:rsidRPr="00743CEC" w:rsidRDefault="007D6DEA" w:rsidP="007D6DEA">
      <w:pPr>
        <w:jc w:val="both"/>
        <w:rPr>
          <w:rFonts w:eastAsia="Times New Roman" w:cs="Times New Roman"/>
          <w:b/>
          <w:sz w:val="22"/>
          <w:szCs w:val="22"/>
        </w:rPr>
      </w:pPr>
      <w:r w:rsidRPr="00743CEC">
        <w:rPr>
          <w:rFonts w:eastAsia="Times New Roman" w:cs="Times New Roman"/>
          <w:b/>
          <w:sz w:val="22"/>
          <w:szCs w:val="22"/>
          <w:lang w:bidi="es-ES"/>
        </w:rPr>
        <w:t>En el plano nacional</w:t>
      </w:r>
    </w:p>
    <w:p w14:paraId="1D464FBB" w14:textId="77777777" w:rsidR="007D6DEA" w:rsidRPr="00743CEC" w:rsidRDefault="007D6DEA" w:rsidP="007D6DEA">
      <w:pPr>
        <w:jc w:val="both"/>
        <w:rPr>
          <w:rFonts w:eastAsia="Times New Roman" w:cs="Times New Roman"/>
          <w:sz w:val="22"/>
          <w:szCs w:val="22"/>
        </w:rPr>
      </w:pPr>
      <w:r w:rsidRPr="00743CEC">
        <w:rPr>
          <w:rFonts w:eastAsia="Times New Roman" w:cs="Times New Roman"/>
          <w:sz w:val="22"/>
          <w:szCs w:val="22"/>
          <w:lang w:bidi="es-ES"/>
        </w:rPr>
        <w:t xml:space="preserve">Mediante el proceso de presentación de informes, los países pueden revisar de forma sistemática sus acuerdos de gobernanza en materia de gestión de los recursos hídricos a todos los niveles. Gracias a la metodología de la encuesta, las revisiones no solo identifican las debilidades de los acuerdos existentes, sino también los desafíos y aciertos relativos a la implementación de tales acuerdos. </w:t>
      </w:r>
    </w:p>
    <w:p w14:paraId="2D6D8822" w14:textId="77777777" w:rsidR="007D6DEA" w:rsidRPr="00743CEC" w:rsidRDefault="007D6DEA" w:rsidP="007D6DEA">
      <w:pPr>
        <w:jc w:val="both"/>
        <w:rPr>
          <w:rFonts w:eastAsia="Times New Roman" w:cs="Times New Roman"/>
          <w:sz w:val="22"/>
          <w:szCs w:val="22"/>
        </w:rPr>
      </w:pPr>
      <w:r w:rsidRPr="00743CEC">
        <w:rPr>
          <w:rFonts w:eastAsia="Times New Roman" w:cs="Times New Roman"/>
          <w:sz w:val="22"/>
          <w:szCs w:val="22"/>
          <w:lang w:bidi="es-ES"/>
        </w:rPr>
        <w:t>Si la elaboración de informes se realiza de manera consultiva, a través de una gran colaboración de las partes interesadas, estas pueden desarrollar un entendimiento común con respecto a los desafíos y oportunidades existentes en materia de gestión de los recursos hídricos.</w:t>
      </w:r>
    </w:p>
    <w:p w14:paraId="5E0C59F7" w14:textId="77777777" w:rsidR="007D6DEA" w:rsidRPr="00743CEC" w:rsidRDefault="007D6DEA" w:rsidP="007D6DEA">
      <w:pPr>
        <w:jc w:val="both"/>
        <w:rPr>
          <w:rFonts w:eastAsia="Times New Roman" w:cs="Times New Roman"/>
          <w:sz w:val="22"/>
          <w:szCs w:val="22"/>
        </w:rPr>
      </w:pPr>
      <w:r w:rsidRPr="00743CEC">
        <w:rPr>
          <w:rFonts w:eastAsia="Times New Roman" w:cs="Times New Roman"/>
          <w:sz w:val="22"/>
          <w:szCs w:val="22"/>
          <w:lang w:bidi="es-ES"/>
        </w:rPr>
        <w:lastRenderedPageBreak/>
        <w:t xml:space="preserve">Por consiguiente, la encuesta cumplimentada y el proceso de cumplimentación pueden contribuir de manera significativa a los procesos de planificación nacional para avanzar en lo relativo a la gestión de los recursos hídricos y equilibrar las prioridades sociales, económicas y ambientales. </w:t>
      </w:r>
    </w:p>
    <w:p w14:paraId="1AE43BDD" w14:textId="77777777" w:rsidR="007D6DEA" w:rsidRPr="00743CEC" w:rsidRDefault="007D6DEA" w:rsidP="007D6DEA">
      <w:pPr>
        <w:jc w:val="both"/>
        <w:rPr>
          <w:rFonts w:eastAsia="Times New Roman" w:cs="Times New Roman"/>
          <w:sz w:val="22"/>
          <w:szCs w:val="22"/>
        </w:rPr>
      </w:pPr>
      <w:r w:rsidRPr="00743CEC">
        <w:rPr>
          <w:rFonts w:eastAsia="Times New Roman" w:cs="Times New Roman"/>
          <w:sz w:val="22"/>
          <w:szCs w:val="22"/>
          <w:lang w:bidi="es-ES"/>
        </w:rPr>
        <w:t xml:space="preserve">Los países pueden estudiar la incorporación de los procesos de presentación de informes aquí descritos a su planificación nacional; por ejemplo, al combinar talleres para tratar tanto la presentación de información como la evaluación del estado actual, así como al aprovechar esta oportunidad para comenzar a considerar hojas de ruta encaminadas a progresar en materia de gestión, desarrollo y uso de los recursos hídricos. Estos procesos pueden reforzar las iniciativas nacionales existentes o fundamentar dichas iniciativas en aquellos países en los que aún no se han establecido procesos de monitoreo, revisión y planificación. </w:t>
      </w:r>
    </w:p>
    <w:p w14:paraId="40D94CAD" w14:textId="77777777" w:rsidR="007D6DEA" w:rsidRPr="00743CEC" w:rsidRDefault="007D6DEA" w:rsidP="007D6DEA">
      <w:pPr>
        <w:jc w:val="both"/>
        <w:rPr>
          <w:rFonts w:eastAsia="Times New Roman" w:cs="Times New Roman"/>
          <w:b/>
          <w:sz w:val="22"/>
          <w:szCs w:val="22"/>
        </w:rPr>
      </w:pPr>
      <w:r w:rsidRPr="00743CEC">
        <w:rPr>
          <w:rFonts w:eastAsia="Times New Roman" w:cs="Times New Roman"/>
          <w:b/>
          <w:sz w:val="22"/>
          <w:szCs w:val="22"/>
          <w:lang w:bidi="es-ES"/>
        </w:rPr>
        <w:t>En el plano regional</w:t>
      </w:r>
    </w:p>
    <w:p w14:paraId="6B5F55F2" w14:textId="1D2D6799" w:rsidR="000A17C6" w:rsidRDefault="007D6DEA" w:rsidP="007D6DEA">
      <w:pPr>
        <w:rPr>
          <w:rFonts w:eastAsia="Times New Roman" w:cs="Times New Roman"/>
          <w:sz w:val="22"/>
          <w:szCs w:val="22"/>
        </w:rPr>
      </w:pPr>
      <w:r w:rsidRPr="00743CEC">
        <w:rPr>
          <w:rFonts w:eastAsia="Times New Roman" w:cs="Times New Roman"/>
          <w:sz w:val="22"/>
          <w:szCs w:val="22"/>
          <w:lang w:bidi="es-ES"/>
        </w:rPr>
        <w:t xml:space="preserve">ONU Medio Ambiente está a disposición de las instituciones regionales para colaborar en el desarrollo de evaluaciones y productos regionales —tales como el intercambio de buenas prácticas en la región— que puedan resultar útiles para fomentar la implementación de la GIRH en cada región. </w:t>
      </w:r>
    </w:p>
    <w:p w14:paraId="439E471D" w14:textId="77777777" w:rsidR="00CD75C4" w:rsidRPr="00463F0B" w:rsidRDefault="00CD75C4" w:rsidP="0058462A">
      <w:pPr>
        <w:pStyle w:val="Heading1"/>
        <w:rPr>
          <w:lang w:val="es-ES"/>
        </w:rPr>
      </w:pPr>
      <w:r w:rsidRPr="005B629E">
        <w:rPr>
          <w:lang w:val="es-ES" w:bidi="es-ES"/>
        </w:rPr>
        <w:t>Diferencias con respecto a la encuesta de referencia</w:t>
      </w:r>
    </w:p>
    <w:p w14:paraId="2A1AFDE6" w14:textId="075D4938" w:rsidR="00CD75C4" w:rsidRPr="00463F0B" w:rsidRDefault="00CD75C4" w:rsidP="006D537B">
      <w:pPr>
        <w:pStyle w:val="ListParagraph"/>
        <w:ind w:left="0"/>
        <w:contextualSpacing w:val="0"/>
        <w:jc w:val="both"/>
        <w:rPr>
          <w:color w:val="000000"/>
          <w:sz w:val="22"/>
          <w:szCs w:val="22"/>
        </w:rPr>
      </w:pPr>
      <w:r w:rsidRPr="00743CEC">
        <w:rPr>
          <w:color w:val="000000"/>
          <w:sz w:val="22"/>
          <w:szCs w:val="22"/>
          <w:lang w:bidi="es-ES"/>
        </w:rPr>
        <w:t>Con objeto de monitorear el progreso de manera fidedigna durante el período de los ODS, es importante emplear un enfoque de elaboración de informes que sea coherente. Por tanto, la encuesta utilizada durante la segunda fase de elaboración de informes es por lo general coherente con la del ciclo de referencia de 2017-2018. No obstante, tras ser revisada en 2019, la encuesta ha sido objeto de modificaciones menores para aumentar su claridad y utilidad para los países</w:t>
      </w:r>
      <w:r w:rsidRPr="00743CEC">
        <w:rPr>
          <w:rStyle w:val="FootnoteReference"/>
          <w:color w:val="000000"/>
          <w:sz w:val="22"/>
          <w:szCs w:val="22"/>
          <w:lang w:bidi="es-ES"/>
        </w:rPr>
        <w:footnoteReference w:id="1"/>
      </w:r>
      <w:r w:rsidR="008A0B01">
        <w:rPr>
          <w:color w:val="000000"/>
          <w:sz w:val="22"/>
          <w:szCs w:val="22"/>
          <w:lang w:bidi="es-ES"/>
        </w:rPr>
        <w:t>.</w:t>
      </w:r>
      <w:r w:rsidRPr="00743CEC">
        <w:rPr>
          <w:color w:val="000000"/>
          <w:sz w:val="22"/>
          <w:szCs w:val="22"/>
          <w:lang w:bidi="es-ES"/>
        </w:rPr>
        <w:t xml:space="preserve"> </w:t>
      </w:r>
    </w:p>
    <w:p w14:paraId="688B3CA4" w14:textId="77777777" w:rsidR="00CD75C4" w:rsidRPr="00463F0B" w:rsidRDefault="00CD75C4" w:rsidP="006D537B">
      <w:pPr>
        <w:pStyle w:val="ListParagraph"/>
        <w:ind w:left="0"/>
        <w:contextualSpacing w:val="0"/>
        <w:jc w:val="both"/>
        <w:rPr>
          <w:color w:val="000000"/>
          <w:sz w:val="22"/>
          <w:szCs w:val="22"/>
        </w:rPr>
      </w:pPr>
      <w:r w:rsidRPr="00743CEC">
        <w:rPr>
          <w:color w:val="000000"/>
          <w:sz w:val="22"/>
          <w:szCs w:val="22"/>
          <w:lang w:bidi="es-ES"/>
        </w:rPr>
        <w:t xml:space="preserve">El número total de preguntas sigue siendo el mismo: 33. Las principales modificaciones se muestran en la siguiente tabla. </w:t>
      </w:r>
    </w:p>
    <w:tbl>
      <w:tblPr>
        <w:tblStyle w:val="TableGrid"/>
        <w:tblW w:w="0" w:type="auto"/>
        <w:tblInd w:w="-2" w:type="dxa"/>
        <w:tblLook w:val="04A0" w:firstRow="1" w:lastRow="0" w:firstColumn="1" w:lastColumn="0" w:noHBand="0" w:noVBand="1"/>
      </w:tblPr>
      <w:tblGrid>
        <w:gridCol w:w="3124"/>
        <w:gridCol w:w="6974"/>
      </w:tblGrid>
      <w:tr w:rsidR="0058164E" w:rsidRPr="00743CEC" w14:paraId="66B4ADA7" w14:textId="77777777" w:rsidTr="0058164E">
        <w:tc>
          <w:tcPr>
            <w:tcW w:w="3124" w:type="dxa"/>
          </w:tcPr>
          <w:p w14:paraId="40A2427C" w14:textId="77777777" w:rsidR="00CD75C4" w:rsidRPr="00743CEC" w:rsidRDefault="00CD75C4" w:rsidP="00C908E4">
            <w:pPr>
              <w:pStyle w:val="ListParagraph"/>
              <w:spacing w:after="0"/>
              <w:ind w:left="0"/>
              <w:rPr>
                <w:b/>
                <w:color w:val="000000"/>
                <w:sz w:val="22"/>
                <w:szCs w:val="22"/>
                <w:lang w:val="en-GB"/>
              </w:rPr>
            </w:pPr>
            <w:r w:rsidRPr="00743CEC">
              <w:rPr>
                <w:b/>
                <w:color w:val="000000"/>
                <w:sz w:val="22"/>
                <w:szCs w:val="22"/>
                <w:lang w:bidi="es-ES"/>
              </w:rPr>
              <w:t>Ciclo de referencia</w:t>
            </w:r>
          </w:p>
        </w:tc>
        <w:tc>
          <w:tcPr>
            <w:tcW w:w="6974" w:type="dxa"/>
          </w:tcPr>
          <w:p w14:paraId="2BDD5FE5" w14:textId="77777777" w:rsidR="00CD75C4" w:rsidRPr="00743CEC" w:rsidRDefault="00CD75C4" w:rsidP="00C908E4">
            <w:pPr>
              <w:pStyle w:val="ListParagraph"/>
              <w:spacing w:after="0"/>
              <w:ind w:left="0"/>
              <w:rPr>
                <w:b/>
                <w:color w:val="000000"/>
                <w:sz w:val="22"/>
                <w:szCs w:val="22"/>
                <w:lang w:val="en-GB"/>
              </w:rPr>
            </w:pPr>
            <w:r w:rsidRPr="00743CEC">
              <w:rPr>
                <w:b/>
                <w:color w:val="000000"/>
                <w:sz w:val="22"/>
                <w:szCs w:val="22"/>
                <w:lang w:bidi="es-ES"/>
              </w:rPr>
              <w:t>Segunda fase</w:t>
            </w:r>
          </w:p>
        </w:tc>
      </w:tr>
      <w:tr w:rsidR="0058164E" w:rsidRPr="00743CEC" w14:paraId="3FC550BE" w14:textId="77777777" w:rsidTr="0058164E">
        <w:tc>
          <w:tcPr>
            <w:tcW w:w="3124" w:type="dxa"/>
          </w:tcPr>
          <w:p w14:paraId="3C76DB3A" w14:textId="6CC9680A" w:rsidR="00CD75C4" w:rsidRPr="00463F0B" w:rsidRDefault="00CD75C4" w:rsidP="00C908E4">
            <w:pPr>
              <w:pStyle w:val="ListParagraph"/>
              <w:spacing w:after="0"/>
              <w:ind w:left="0"/>
              <w:rPr>
                <w:color w:val="000000"/>
                <w:sz w:val="22"/>
                <w:szCs w:val="22"/>
              </w:rPr>
            </w:pPr>
            <w:r w:rsidRPr="00743CEC">
              <w:rPr>
                <w:color w:val="000000"/>
                <w:sz w:val="22"/>
                <w:szCs w:val="22"/>
                <w:lang w:bidi="es-ES"/>
              </w:rPr>
              <w:t xml:space="preserve">Preguntas 1.2d y 2.2f: leyes e instituciones subnacionales respectivamente, solo para Estados </w:t>
            </w:r>
            <w:r w:rsidR="00A42894">
              <w:rPr>
                <w:color w:val="000000"/>
                <w:sz w:val="22"/>
                <w:szCs w:val="22"/>
                <w:lang w:bidi="es-ES"/>
              </w:rPr>
              <w:t>federales</w:t>
            </w:r>
            <w:r w:rsidRPr="00743CEC">
              <w:rPr>
                <w:color w:val="000000"/>
                <w:sz w:val="22"/>
                <w:szCs w:val="22"/>
                <w:lang w:bidi="es-ES"/>
              </w:rPr>
              <w:t xml:space="preserve">. </w:t>
            </w:r>
          </w:p>
        </w:tc>
        <w:tc>
          <w:tcPr>
            <w:tcW w:w="6974" w:type="dxa"/>
          </w:tcPr>
          <w:p w14:paraId="36C507B4" w14:textId="05A946B7" w:rsidR="00CD75C4" w:rsidRPr="00463F0B" w:rsidRDefault="00CD75C4" w:rsidP="00C908E4">
            <w:pPr>
              <w:pStyle w:val="ListParagraph"/>
              <w:spacing w:after="0"/>
              <w:ind w:left="0"/>
              <w:rPr>
                <w:color w:val="000000"/>
                <w:sz w:val="22"/>
                <w:szCs w:val="22"/>
              </w:rPr>
            </w:pPr>
            <w:r w:rsidRPr="00743CEC">
              <w:rPr>
                <w:color w:val="000000"/>
                <w:sz w:val="22"/>
                <w:szCs w:val="22"/>
                <w:lang w:bidi="es-ES"/>
              </w:rPr>
              <w:t xml:space="preserve">Las preguntas 1.2d y 2.2f, una vez modificadas, se aplican a todos los países; se reconoce que son muchos los países que cuentan con leyes y autoridades </w:t>
            </w:r>
            <w:proofErr w:type="gramStart"/>
            <w:r w:rsidRPr="00743CEC">
              <w:rPr>
                <w:color w:val="000000"/>
                <w:sz w:val="22"/>
                <w:szCs w:val="22"/>
                <w:lang w:bidi="es-ES"/>
              </w:rPr>
              <w:t>subnacionales,</w:t>
            </w:r>
            <w:proofErr w:type="gramEnd"/>
            <w:r w:rsidRPr="00743CEC">
              <w:rPr>
                <w:color w:val="000000"/>
                <w:sz w:val="22"/>
                <w:szCs w:val="22"/>
                <w:lang w:bidi="es-ES"/>
              </w:rPr>
              <w:t xml:space="preserve"> sean o no Estados </w:t>
            </w:r>
            <w:r w:rsidR="00A42894">
              <w:rPr>
                <w:color w:val="000000"/>
                <w:sz w:val="22"/>
                <w:szCs w:val="22"/>
                <w:lang w:bidi="es-ES"/>
              </w:rPr>
              <w:t>federales</w:t>
            </w:r>
            <w:r w:rsidRPr="00743CEC">
              <w:rPr>
                <w:color w:val="000000"/>
                <w:sz w:val="22"/>
                <w:szCs w:val="22"/>
                <w:lang w:bidi="es-ES"/>
              </w:rPr>
              <w:t xml:space="preserve">. </w:t>
            </w:r>
          </w:p>
        </w:tc>
      </w:tr>
      <w:tr w:rsidR="0058164E" w:rsidRPr="00743CEC" w14:paraId="639EC641" w14:textId="77777777" w:rsidTr="0058164E">
        <w:trPr>
          <w:trHeight w:val="758"/>
        </w:trPr>
        <w:tc>
          <w:tcPr>
            <w:tcW w:w="3124" w:type="dxa"/>
          </w:tcPr>
          <w:p w14:paraId="0FB76663" w14:textId="77777777" w:rsidR="00CD75C4" w:rsidRPr="00463F0B" w:rsidRDefault="00CD75C4" w:rsidP="00C908E4">
            <w:pPr>
              <w:pStyle w:val="ListParagraph"/>
              <w:spacing w:after="0"/>
              <w:ind w:left="0"/>
              <w:rPr>
                <w:color w:val="000000"/>
                <w:sz w:val="22"/>
                <w:szCs w:val="22"/>
              </w:rPr>
            </w:pPr>
            <w:r w:rsidRPr="00743CEC">
              <w:rPr>
                <w:color w:val="000000"/>
                <w:sz w:val="22"/>
                <w:szCs w:val="22"/>
                <w:lang w:bidi="es-ES"/>
              </w:rPr>
              <w:t>Preguntas 2.1e, 2.2c y 2.2d: el género en el plano nacional, subnacional y transfronterizo.</w:t>
            </w:r>
          </w:p>
        </w:tc>
        <w:tc>
          <w:tcPr>
            <w:tcW w:w="6974" w:type="dxa"/>
          </w:tcPr>
          <w:p w14:paraId="09DFA3E2" w14:textId="77777777" w:rsidR="00CD75C4" w:rsidRPr="00463F0B" w:rsidRDefault="00CD75C4" w:rsidP="00C908E4">
            <w:pPr>
              <w:pStyle w:val="ListParagraph"/>
              <w:spacing w:after="0"/>
              <w:ind w:left="0"/>
              <w:rPr>
                <w:color w:val="000000"/>
                <w:sz w:val="22"/>
                <w:szCs w:val="22"/>
              </w:rPr>
            </w:pPr>
            <w:r w:rsidRPr="00743CEC">
              <w:rPr>
                <w:color w:val="000000"/>
                <w:sz w:val="22"/>
                <w:szCs w:val="22"/>
                <w:lang w:bidi="es-ES"/>
              </w:rPr>
              <w:t xml:space="preserve">Estas tres preguntas se han combinado en una sola, 2.2d. Durante el ciclo de referencia, la mayoría de </w:t>
            </w:r>
            <w:proofErr w:type="gramStart"/>
            <w:r w:rsidRPr="00743CEC">
              <w:rPr>
                <w:color w:val="000000"/>
                <w:sz w:val="22"/>
                <w:szCs w:val="22"/>
                <w:lang w:bidi="es-ES"/>
              </w:rPr>
              <w:t>países</w:t>
            </w:r>
            <w:proofErr w:type="gramEnd"/>
            <w:r w:rsidRPr="00743CEC">
              <w:rPr>
                <w:color w:val="000000"/>
                <w:sz w:val="22"/>
                <w:szCs w:val="22"/>
                <w:lang w:bidi="es-ES"/>
              </w:rPr>
              <w:t xml:space="preserve"> presentaban puntuaciones idénticas o similares en cada ámbito, por lo que contar con tres preguntas no constituía una ventaja significativa. Su combinación ha permitido que se añadan dos preguntas (véase a continuación).</w:t>
            </w:r>
          </w:p>
        </w:tc>
      </w:tr>
      <w:tr w:rsidR="0058164E" w:rsidRPr="00743CEC" w14:paraId="30B91035" w14:textId="77777777" w:rsidTr="0058164E">
        <w:tc>
          <w:tcPr>
            <w:tcW w:w="3124" w:type="dxa"/>
          </w:tcPr>
          <w:p w14:paraId="5D288B72" w14:textId="77777777" w:rsidR="00CD75C4" w:rsidRPr="00743CEC" w:rsidRDefault="00CD75C4" w:rsidP="00C908E4">
            <w:pPr>
              <w:pStyle w:val="ListParagraph"/>
              <w:spacing w:after="0"/>
              <w:ind w:left="0"/>
              <w:rPr>
                <w:color w:val="000000"/>
                <w:sz w:val="22"/>
                <w:szCs w:val="22"/>
                <w:lang w:val="en-GB"/>
              </w:rPr>
            </w:pPr>
            <w:r w:rsidRPr="00743CEC">
              <w:rPr>
                <w:color w:val="000000"/>
                <w:sz w:val="22"/>
                <w:szCs w:val="22"/>
                <w:lang w:bidi="es-ES"/>
              </w:rPr>
              <w:t>-</w:t>
            </w:r>
          </w:p>
        </w:tc>
        <w:tc>
          <w:tcPr>
            <w:tcW w:w="6974" w:type="dxa"/>
          </w:tcPr>
          <w:p w14:paraId="777A7A77" w14:textId="77777777" w:rsidR="00CD75C4" w:rsidRPr="00463F0B" w:rsidRDefault="00CD75C4" w:rsidP="00C908E4">
            <w:pPr>
              <w:pStyle w:val="ListParagraph"/>
              <w:spacing w:after="0"/>
              <w:ind w:left="0"/>
              <w:rPr>
                <w:color w:val="000000"/>
                <w:sz w:val="22"/>
                <w:szCs w:val="22"/>
              </w:rPr>
            </w:pPr>
            <w:r w:rsidRPr="00743CEC">
              <w:rPr>
                <w:color w:val="000000"/>
                <w:sz w:val="22"/>
                <w:szCs w:val="22"/>
                <w:lang w:bidi="es-ES"/>
              </w:rPr>
              <w:t>Nueva pregunta sobre los grupos vulnerables, 2.2d. Con esta pregunta, se incluye un elemento relativo a la participación de las partes interesadas que es importante en el contexto de «no dejar a nadie atrás» —uno de los principios clave de la Agenda 2030—.</w:t>
            </w:r>
          </w:p>
        </w:tc>
      </w:tr>
      <w:tr w:rsidR="0058164E" w:rsidRPr="00743CEC" w14:paraId="14F403CE" w14:textId="77777777" w:rsidTr="0058164E">
        <w:tc>
          <w:tcPr>
            <w:tcW w:w="3124" w:type="dxa"/>
          </w:tcPr>
          <w:p w14:paraId="46AF8729" w14:textId="77777777" w:rsidR="00CD75C4" w:rsidRPr="00743CEC" w:rsidRDefault="00CD75C4" w:rsidP="00C908E4">
            <w:pPr>
              <w:pStyle w:val="ListParagraph"/>
              <w:spacing w:after="0"/>
              <w:ind w:left="0"/>
              <w:rPr>
                <w:color w:val="000000"/>
                <w:sz w:val="22"/>
                <w:szCs w:val="22"/>
                <w:lang w:val="en-GB"/>
              </w:rPr>
            </w:pPr>
            <w:r w:rsidRPr="00743CEC">
              <w:rPr>
                <w:color w:val="000000"/>
                <w:sz w:val="22"/>
                <w:szCs w:val="22"/>
                <w:lang w:bidi="es-ES"/>
              </w:rPr>
              <w:t>-</w:t>
            </w:r>
          </w:p>
        </w:tc>
        <w:tc>
          <w:tcPr>
            <w:tcW w:w="6974" w:type="dxa"/>
          </w:tcPr>
          <w:p w14:paraId="56E11BCA" w14:textId="77777777" w:rsidR="00CD75C4" w:rsidRPr="00463F0B" w:rsidRDefault="00CD75C4" w:rsidP="00C908E4">
            <w:pPr>
              <w:pStyle w:val="ListParagraph"/>
              <w:spacing w:after="0"/>
              <w:ind w:left="0"/>
              <w:rPr>
                <w:color w:val="000000"/>
                <w:sz w:val="22"/>
                <w:szCs w:val="22"/>
              </w:rPr>
            </w:pPr>
            <w:r w:rsidRPr="00743CEC">
              <w:rPr>
                <w:color w:val="000000"/>
                <w:sz w:val="22"/>
                <w:szCs w:val="22"/>
                <w:lang w:bidi="es-ES"/>
              </w:rPr>
              <w:t>Nueva pregunta, 4.2d, sobre el presupuesto en el plano subnacional o de las cuencas para los elementos de la GIRH; se reconoce la importancia de disponer de financiación a niveles más «operativos».</w:t>
            </w:r>
          </w:p>
        </w:tc>
      </w:tr>
    </w:tbl>
    <w:p w14:paraId="7042AD21" w14:textId="77777777" w:rsidR="00CD75C4" w:rsidRPr="00463F0B" w:rsidRDefault="00CD75C4" w:rsidP="006D537B">
      <w:pPr>
        <w:pStyle w:val="ListParagraph"/>
        <w:spacing w:before="120"/>
        <w:ind w:left="0"/>
        <w:contextualSpacing w:val="0"/>
        <w:jc w:val="both"/>
        <w:rPr>
          <w:color w:val="000000"/>
          <w:sz w:val="22"/>
          <w:szCs w:val="22"/>
        </w:rPr>
      </w:pPr>
      <w:r w:rsidRPr="00743CEC">
        <w:rPr>
          <w:color w:val="000000"/>
          <w:sz w:val="22"/>
          <w:szCs w:val="22"/>
          <w:lang w:bidi="es-ES"/>
        </w:rPr>
        <w:lastRenderedPageBreak/>
        <w:t xml:space="preserve">También se han introducido cambios menores con respecto a la formulación de algunas preguntas, umbrales o notas a pie de página, en aras de la claridad. </w:t>
      </w:r>
    </w:p>
    <w:p w14:paraId="48F8CD23" w14:textId="1143557E" w:rsidR="00CD75C4" w:rsidRPr="00463F0B" w:rsidRDefault="00CD75C4" w:rsidP="006D537B">
      <w:pPr>
        <w:pStyle w:val="ListParagraph"/>
        <w:ind w:left="0"/>
        <w:contextualSpacing w:val="0"/>
        <w:jc w:val="both"/>
        <w:rPr>
          <w:color w:val="000000"/>
          <w:sz w:val="22"/>
          <w:szCs w:val="22"/>
        </w:rPr>
      </w:pPr>
      <w:r w:rsidRPr="00743CEC">
        <w:rPr>
          <w:color w:val="000000"/>
          <w:sz w:val="22"/>
          <w:szCs w:val="22"/>
          <w:lang w:bidi="es-ES"/>
        </w:rPr>
        <w:t>Se ha modificado el campo «Fundamento/evidencia» tal y como aparecía en las preguntas de la encuesta de referencia. Ahora, se ha separado en dos campos con el objetivo de facilitar los procesos de planificación nacional y avanzar hacia la consecución de la meta 6.5: «Descripción de la situación» y «Formas de avanzar». La cumplimentación de estos campos aumentará considerablemente la solidez y objetividad de las respuestas aportadas. También contribuirá a que los distintos grupos de interesados del país lleguen a un consenso a la hora de responder cada pregunta; ayudará a los países a determinar qué es necesario para alcanzar el siguiente umbral; ayudará a que los países monitoreen los avances; y permitirá la estandarización de los grados de implementación entre países. En la parte 1 de la encuesta, se pueden encontrar directrices sobre cómo cumplimentar estos campos.</w:t>
      </w:r>
    </w:p>
    <w:p w14:paraId="0BE2A530" w14:textId="77777777" w:rsidR="00CD75C4" w:rsidRPr="00463F0B" w:rsidRDefault="00CD75C4" w:rsidP="006D537B">
      <w:pPr>
        <w:pStyle w:val="ListParagraph"/>
        <w:ind w:left="0"/>
        <w:contextualSpacing w:val="0"/>
        <w:jc w:val="both"/>
        <w:rPr>
          <w:color w:val="000000"/>
          <w:sz w:val="22"/>
          <w:szCs w:val="22"/>
        </w:rPr>
      </w:pPr>
      <w:r w:rsidRPr="00743CEC">
        <w:rPr>
          <w:color w:val="000000"/>
          <w:sz w:val="22"/>
          <w:szCs w:val="22"/>
          <w:lang w:bidi="es-ES"/>
        </w:rPr>
        <w:t>Los siguientes elementos se han revisado o añadido a la encuesta:</w:t>
      </w:r>
    </w:p>
    <w:p w14:paraId="10E7E461" w14:textId="77777777" w:rsidR="00CD75C4" w:rsidRPr="00743CEC" w:rsidRDefault="00CD75C4" w:rsidP="00686C89">
      <w:pPr>
        <w:pStyle w:val="ListParagraph"/>
        <w:numPr>
          <w:ilvl w:val="0"/>
          <w:numId w:val="17"/>
        </w:numPr>
        <w:ind w:left="851"/>
        <w:rPr>
          <w:color w:val="000000"/>
          <w:sz w:val="22"/>
          <w:szCs w:val="22"/>
          <w:lang w:val="en-GB"/>
        </w:rPr>
      </w:pPr>
      <w:r w:rsidRPr="00743CEC">
        <w:rPr>
          <w:color w:val="000000"/>
          <w:sz w:val="22"/>
          <w:szCs w:val="22"/>
          <w:lang w:bidi="es-ES"/>
        </w:rPr>
        <w:t xml:space="preserve">Formulario de presentación (carátula) y lista de control de calidad (justo después de la sección 5): tienen como objetivo aumentar la transparencia y solidez, además de reducir el número de fases de control de calidad entre ONU Medio Ambiente y el coordinador. Su diseño permite que el coordinador los cumplimente rápidamente. </w:t>
      </w:r>
    </w:p>
    <w:p w14:paraId="2B310AB9" w14:textId="77777777" w:rsidR="00CD75C4" w:rsidRPr="00463F0B" w:rsidRDefault="00CD75C4" w:rsidP="00686C89">
      <w:pPr>
        <w:pStyle w:val="ListParagraph"/>
        <w:numPr>
          <w:ilvl w:val="0"/>
          <w:numId w:val="17"/>
        </w:numPr>
        <w:ind w:left="851"/>
        <w:rPr>
          <w:color w:val="000000"/>
          <w:sz w:val="22"/>
          <w:szCs w:val="22"/>
        </w:rPr>
      </w:pPr>
      <w:r w:rsidRPr="00743CEC">
        <w:rPr>
          <w:color w:val="000000"/>
          <w:sz w:val="22"/>
          <w:szCs w:val="22"/>
          <w:lang w:bidi="es-ES"/>
        </w:rPr>
        <w:t xml:space="preserve">Anexo A: Glosario: el glosario ha pasado de ubicarse en la sección introductoria al anexo A. </w:t>
      </w:r>
    </w:p>
    <w:p w14:paraId="13751880" w14:textId="77777777" w:rsidR="00CD75C4" w:rsidRPr="00463F0B" w:rsidRDefault="00CD75C4" w:rsidP="00686C89">
      <w:pPr>
        <w:pStyle w:val="ListParagraph"/>
        <w:numPr>
          <w:ilvl w:val="0"/>
          <w:numId w:val="17"/>
        </w:numPr>
        <w:ind w:left="851"/>
        <w:rPr>
          <w:color w:val="000000"/>
          <w:sz w:val="22"/>
          <w:szCs w:val="22"/>
        </w:rPr>
      </w:pPr>
      <w:r w:rsidRPr="00743CEC">
        <w:rPr>
          <w:color w:val="000000"/>
          <w:sz w:val="22"/>
          <w:szCs w:val="22"/>
          <w:lang w:bidi="es-ES"/>
        </w:rPr>
        <w:t xml:space="preserve">Anexo B: Nivel transfronterizo: esta sección ha pasado de la sección introductoria al Anexo B. Se han modificado tanto el texto como la tabla en aras de la claridad y la transparencia. </w:t>
      </w:r>
    </w:p>
    <w:p w14:paraId="0E39B04F" w14:textId="77777777" w:rsidR="00CD75C4" w:rsidRPr="00463F0B" w:rsidRDefault="00CD75C4" w:rsidP="00686C89">
      <w:pPr>
        <w:pStyle w:val="ListParagraph"/>
        <w:numPr>
          <w:ilvl w:val="0"/>
          <w:numId w:val="17"/>
        </w:numPr>
        <w:ind w:left="851"/>
        <w:rPr>
          <w:color w:val="000000"/>
          <w:sz w:val="22"/>
          <w:szCs w:val="22"/>
        </w:rPr>
      </w:pPr>
      <w:r w:rsidRPr="00743CEC">
        <w:rPr>
          <w:color w:val="000000"/>
          <w:sz w:val="22"/>
          <w:szCs w:val="22"/>
          <w:lang w:bidi="es-ES"/>
        </w:rPr>
        <w:t xml:space="preserve">Anexo C: Obstáculos, elementos facilitadores y pasos a seguir para la implementación de la GIRH: se trata de un nuevo anexo basado en lo que numerosos países consideraron útil en sus procesos y resultados relativos a los talleres durante el ciclo de referencia. Está diseñado para ayudar a los países a identificar los principales desafíos y pasos a seguir a la hora de fomentar la implementación de la GIRH, y también puede contribuir a los procesos de planificación nacional. </w:t>
      </w:r>
    </w:p>
    <w:p w14:paraId="562D76F4" w14:textId="681066CE" w:rsidR="00CD75C4" w:rsidRPr="00463F0B" w:rsidRDefault="00CD75C4" w:rsidP="00686C89">
      <w:pPr>
        <w:pStyle w:val="ListParagraph"/>
        <w:numPr>
          <w:ilvl w:val="0"/>
          <w:numId w:val="17"/>
        </w:numPr>
        <w:ind w:left="851"/>
        <w:rPr>
          <w:color w:val="000000"/>
          <w:sz w:val="22"/>
          <w:szCs w:val="22"/>
        </w:rPr>
      </w:pPr>
      <w:r w:rsidRPr="00743CEC">
        <w:rPr>
          <w:sz w:val="22"/>
          <w:szCs w:val="22"/>
          <w:lang w:bidi="es-ES"/>
        </w:rPr>
        <w:t xml:space="preserve">Anexo D: Desafíos prioritarios en materia de recursos hídricos: este nuevo anexo contiene una sencilla lista de control que complementa los aspectos de la gestión hídrica de la encuesta principal, pero no afecta a la puntuación global del indicador. Puede resultar útil para aquellos países sumidos en procesos de debate y planificación con las partes interesadas. Con el tiempo, puede servir a los países para evaluar si la implementación de la GIRH puede reducir las dificultades relativas a distintas cuestiones en materia de recursos hídricos. Se basa en un proceso similar de presentación de informes de 2011, disponible </w:t>
      </w:r>
      <w:hyperlink r:id="rId18" w:history="1">
        <w:r w:rsidRPr="006E3660">
          <w:rPr>
            <w:rStyle w:val="Hyperlink"/>
            <w:sz w:val="22"/>
            <w:szCs w:val="22"/>
            <w:lang w:bidi="es-ES"/>
          </w:rPr>
          <w:t>aquí</w:t>
        </w:r>
      </w:hyperlink>
      <w:r w:rsidRPr="00743CEC">
        <w:rPr>
          <w:sz w:val="22"/>
          <w:szCs w:val="22"/>
          <w:lang w:bidi="es-ES"/>
        </w:rPr>
        <w:t xml:space="preserve">. </w:t>
      </w:r>
    </w:p>
    <w:p w14:paraId="0AAADBB5" w14:textId="77777777" w:rsidR="00A6693B" w:rsidRPr="00463F0B" w:rsidRDefault="00CD75C4" w:rsidP="00686C89">
      <w:pPr>
        <w:pStyle w:val="ListParagraph"/>
        <w:numPr>
          <w:ilvl w:val="0"/>
          <w:numId w:val="17"/>
        </w:numPr>
        <w:ind w:left="851"/>
        <w:rPr>
          <w:color w:val="000000"/>
          <w:sz w:val="22"/>
          <w:szCs w:val="22"/>
        </w:rPr>
      </w:pPr>
      <w:r w:rsidRPr="00743CEC">
        <w:rPr>
          <w:sz w:val="22"/>
          <w:szCs w:val="22"/>
          <w:lang w:bidi="es-ES"/>
        </w:rPr>
        <w:t xml:space="preserve">Anexo E: Formulario del proceso de presentación de informes nacionales del indicador 6.5.1: este nuevo anexo se basa en el formulario de presentación (carátula). Se apoya en los comentarios y la experiencia del ciclo de referencia para aumentar de forma significativa la transparencia del proceso y, por consiguiente, la confianza en los resultados en el plano nacional, regional y mundial. </w:t>
      </w:r>
    </w:p>
    <w:p w14:paraId="29394795" w14:textId="3E841FBD" w:rsidR="00CD75C4" w:rsidRPr="00463F0B" w:rsidRDefault="00A6693B" w:rsidP="006D537B">
      <w:pPr>
        <w:jc w:val="both"/>
        <w:rPr>
          <w:color w:val="000000"/>
          <w:sz w:val="22"/>
          <w:szCs w:val="22"/>
        </w:rPr>
      </w:pPr>
      <w:r w:rsidRPr="00A6693B">
        <w:rPr>
          <w:sz w:val="22"/>
          <w:szCs w:val="22"/>
          <w:lang w:bidi="es-ES"/>
        </w:rPr>
        <w:t xml:space="preserve">Se reconoce que los Estados </w:t>
      </w:r>
      <w:r w:rsidR="00A42894">
        <w:rPr>
          <w:sz w:val="22"/>
          <w:szCs w:val="22"/>
          <w:lang w:bidi="es-ES"/>
        </w:rPr>
        <w:t>federales</w:t>
      </w:r>
      <w:r w:rsidRPr="00A6693B">
        <w:rPr>
          <w:sz w:val="22"/>
          <w:szCs w:val="22"/>
          <w:lang w:bidi="es-ES"/>
        </w:rPr>
        <w:t xml:space="preserve">, o aquellos que han delegado de forma significativa la responsabilidad en materia de gestión de los recursos hídricos a las jurisdicciones subnacionales, pueden enfrentarse a desafíos adicionales a la hora de responder las preguntas. En el ciclo de referencia, 23 de los 27 Estados </w:t>
      </w:r>
      <w:r w:rsidR="00A42894">
        <w:rPr>
          <w:sz w:val="22"/>
          <w:szCs w:val="22"/>
          <w:lang w:bidi="es-ES"/>
        </w:rPr>
        <w:t>federales</w:t>
      </w:r>
      <w:r w:rsidR="00A42894" w:rsidRPr="00A6693B">
        <w:rPr>
          <w:sz w:val="22"/>
          <w:szCs w:val="22"/>
          <w:lang w:bidi="es-ES"/>
        </w:rPr>
        <w:t xml:space="preserve"> </w:t>
      </w:r>
      <w:r w:rsidRPr="00A6693B">
        <w:rPr>
          <w:sz w:val="22"/>
          <w:szCs w:val="22"/>
          <w:lang w:bidi="es-ES"/>
        </w:rPr>
        <w:t xml:space="preserve">cumplimentaron la encuesta, lo cual demuestra que este enfoque es viable. En el anexo C de la encuesta, se insta a los países a explicar de forma breve el grado de delegación de la gestión de los recursos hídricos, así como las dificultades y oportunidades resultantes. Se anima a los Estados </w:t>
      </w:r>
      <w:r w:rsidR="00A42894">
        <w:rPr>
          <w:sz w:val="22"/>
          <w:szCs w:val="22"/>
          <w:lang w:bidi="es-ES"/>
        </w:rPr>
        <w:t>federales</w:t>
      </w:r>
      <w:r w:rsidR="00A42894" w:rsidRPr="00A6693B">
        <w:rPr>
          <w:sz w:val="22"/>
          <w:szCs w:val="22"/>
          <w:lang w:bidi="es-ES"/>
        </w:rPr>
        <w:t xml:space="preserve"> </w:t>
      </w:r>
      <w:r w:rsidRPr="00A6693B">
        <w:rPr>
          <w:sz w:val="22"/>
          <w:szCs w:val="22"/>
          <w:lang w:bidi="es-ES"/>
        </w:rPr>
        <w:t xml:space="preserve">que tengan dudas a la hora de responder </w:t>
      </w:r>
      <w:r w:rsidRPr="00A6693B">
        <w:rPr>
          <w:sz w:val="22"/>
          <w:szCs w:val="22"/>
          <w:lang w:bidi="es-ES"/>
        </w:rPr>
        <w:lastRenderedPageBreak/>
        <w:t>a ciertos aspectos del cuestionario a contactar con el Servicio de Asistencia del indicador 6.5.1 tan pronto como sea posible.</w:t>
      </w:r>
    </w:p>
    <w:p w14:paraId="50E32573" w14:textId="72F7BDBE" w:rsidR="00F8146D" w:rsidRPr="00463F0B" w:rsidRDefault="00F8146D" w:rsidP="00F8146D">
      <w:pPr>
        <w:pStyle w:val="Heading1"/>
        <w:rPr>
          <w:lang w:val="es-ES"/>
        </w:rPr>
      </w:pPr>
      <w:r w:rsidRPr="005B629E">
        <w:rPr>
          <w:lang w:val="es-ES" w:bidi="es-ES"/>
        </w:rPr>
        <w:t>Presentación y Servicio de Asistencia.</w:t>
      </w:r>
    </w:p>
    <w:p w14:paraId="35208412" w14:textId="7939FC6C" w:rsidR="00F8146D" w:rsidRPr="00743CEC" w:rsidRDefault="00F8146D" w:rsidP="006D537B">
      <w:pPr>
        <w:jc w:val="both"/>
        <w:rPr>
          <w:rFonts w:eastAsia="Times New Roman" w:cs="Times New Roman"/>
          <w:sz w:val="22"/>
          <w:szCs w:val="22"/>
        </w:rPr>
      </w:pPr>
      <w:r w:rsidRPr="00743CEC">
        <w:rPr>
          <w:rFonts w:eastAsia="Times New Roman" w:cs="Times New Roman"/>
          <w:sz w:val="22"/>
          <w:szCs w:val="22"/>
          <w:lang w:bidi="es-ES"/>
        </w:rPr>
        <w:t xml:space="preserve">El coordinador de la GIRH debe presentar una única versión final, completa y aprobada de la encuesta al Servicio de Asistencia de ONU Medio Ambiente: </w:t>
      </w:r>
      <w:hyperlink r:id="rId19" w:history="1">
        <w:r w:rsidR="007926DA" w:rsidRPr="0066393D">
          <w:rPr>
            <w:rStyle w:val="Hyperlink"/>
            <w:rFonts w:eastAsia="Times New Roman" w:cs="Times New Roman"/>
            <w:sz w:val="22"/>
            <w:szCs w:val="22"/>
            <w:lang w:bidi="es-ES"/>
          </w:rPr>
          <w:t>iwrmsdg651@un.rog</w:t>
        </w:r>
      </w:hyperlink>
      <w:r w:rsidRPr="00743CEC">
        <w:rPr>
          <w:rFonts w:eastAsia="Times New Roman" w:cs="Times New Roman"/>
          <w:sz w:val="22"/>
          <w:szCs w:val="22"/>
          <w:lang w:bidi="es-ES"/>
        </w:rPr>
        <w:t>. También puede remitir proyectos de dicha encuesta a ONU Medio Ambiente para recibir comentarios antes de la presentación oficial.</w:t>
      </w:r>
    </w:p>
    <w:p w14:paraId="72B49369" w14:textId="1A2FE00C" w:rsidR="009544C5" w:rsidRPr="00743CEC" w:rsidRDefault="009544C5" w:rsidP="006D537B">
      <w:pPr>
        <w:jc w:val="both"/>
        <w:rPr>
          <w:sz w:val="22"/>
          <w:szCs w:val="22"/>
        </w:rPr>
      </w:pPr>
      <w:r w:rsidRPr="00743CEC">
        <w:rPr>
          <w:sz w:val="22"/>
          <w:szCs w:val="22"/>
          <w:lang w:bidi="es-ES"/>
        </w:rPr>
        <w:t xml:space="preserve">En caso de que así lo soliciten, el Servicio de Asistencia ayudará a los coordinadores nacionales de la GIRH a la hora de abordar cuestiones como la interpretación de ciertas preguntas y umbrales, el establecimiento de un grado adecuado de participación de las partes interesadas en los países y la presentación de las puntuaciones finales del indicador. </w:t>
      </w:r>
      <w:r w:rsidRPr="00454009">
        <w:rPr>
          <w:rFonts w:eastAsia="Times New Roman" w:cs="Times New Roman"/>
          <w:sz w:val="22"/>
          <w:szCs w:val="22"/>
          <w:lang w:bidi="es-ES"/>
        </w:rPr>
        <w:t>También se pone a su disposición una sencilla hoja de cálculo que los ayudará a calcular los promedios de cada sección y la puntuación global.</w:t>
      </w:r>
    </w:p>
    <w:p w14:paraId="3B777178" w14:textId="584837A9" w:rsidR="00F8146D" w:rsidRPr="00743CEC" w:rsidRDefault="00F8146D" w:rsidP="006D537B">
      <w:pPr>
        <w:jc w:val="both"/>
        <w:rPr>
          <w:rFonts w:eastAsia="Times New Roman" w:cs="Times New Roman"/>
          <w:sz w:val="22"/>
          <w:szCs w:val="22"/>
        </w:rPr>
      </w:pPr>
      <w:r w:rsidRPr="00743CEC">
        <w:rPr>
          <w:rFonts w:eastAsia="Times New Roman" w:cs="Times New Roman"/>
          <w:sz w:val="22"/>
          <w:szCs w:val="22"/>
          <w:lang w:bidi="es-ES"/>
        </w:rPr>
        <w:t>ONU Medio Ambiente también debe:</w:t>
      </w:r>
    </w:p>
    <w:p w14:paraId="7048D4A5" w14:textId="77777777" w:rsidR="00F8146D" w:rsidRPr="00743CEC" w:rsidRDefault="00F8146D" w:rsidP="00F8146D">
      <w:pPr>
        <w:pStyle w:val="ListParagraph"/>
        <w:numPr>
          <w:ilvl w:val="1"/>
          <w:numId w:val="6"/>
        </w:numPr>
        <w:jc w:val="both"/>
        <w:rPr>
          <w:rFonts w:eastAsia="Times New Roman" w:cs="Times New Roman"/>
          <w:sz w:val="22"/>
          <w:szCs w:val="22"/>
        </w:rPr>
      </w:pPr>
      <w:r w:rsidRPr="00743CEC">
        <w:rPr>
          <w:rFonts w:eastAsia="Times New Roman" w:cs="Times New Roman"/>
          <w:sz w:val="22"/>
          <w:szCs w:val="22"/>
          <w:lang w:bidi="es-ES"/>
        </w:rPr>
        <w:t>Ayudar al país a realizar los controles de calidad necesarios.</w:t>
      </w:r>
    </w:p>
    <w:p w14:paraId="553B0357" w14:textId="658C2888" w:rsidR="009700C8" w:rsidRPr="00743CEC" w:rsidRDefault="00F8146D" w:rsidP="00F8146D">
      <w:pPr>
        <w:pStyle w:val="ListParagraph"/>
        <w:numPr>
          <w:ilvl w:val="1"/>
          <w:numId w:val="6"/>
        </w:numPr>
        <w:jc w:val="both"/>
        <w:rPr>
          <w:rFonts w:eastAsia="Times New Roman" w:cs="Times New Roman"/>
          <w:sz w:val="22"/>
          <w:szCs w:val="22"/>
        </w:rPr>
      </w:pPr>
      <w:r w:rsidRPr="00743CEC">
        <w:rPr>
          <w:rFonts w:eastAsia="Times New Roman" w:cs="Times New Roman"/>
          <w:sz w:val="22"/>
          <w:szCs w:val="22"/>
          <w:lang w:bidi="es-ES"/>
        </w:rPr>
        <w:t>Informar a la División de Estadística de las Naciones Unidas.</w:t>
      </w:r>
    </w:p>
    <w:p w14:paraId="338E1441" w14:textId="78CC7F0F" w:rsidR="00FA13E0" w:rsidRPr="00743CEC" w:rsidRDefault="009544C5" w:rsidP="0058462A">
      <w:pPr>
        <w:pStyle w:val="ListParagraph"/>
        <w:numPr>
          <w:ilvl w:val="1"/>
          <w:numId w:val="6"/>
        </w:numPr>
        <w:jc w:val="both"/>
      </w:pPr>
      <w:r w:rsidRPr="0058462A">
        <w:rPr>
          <w:rFonts w:eastAsia="Times New Roman" w:cs="Times New Roman"/>
          <w:sz w:val="22"/>
          <w:szCs w:val="22"/>
          <w:lang w:bidi="es-ES"/>
        </w:rPr>
        <w:t xml:space="preserve">Publicar los resultados en línea y elaborar un informe sobre la situación mundial. </w:t>
      </w:r>
      <w:hyperlink r:id="rId20" w:history="1">
        <w:r w:rsidR="00F8146D" w:rsidRPr="009700C8">
          <w:rPr>
            <w:rStyle w:val="Hyperlink"/>
            <w:rFonts w:eastAsia="Times New Roman" w:cs="Times New Roman"/>
            <w:sz w:val="22"/>
            <w:szCs w:val="22"/>
            <w:lang w:bidi="es-ES"/>
          </w:rPr>
          <w:t>Haga clic aquí</w:t>
        </w:r>
      </w:hyperlink>
      <w:bookmarkStart w:id="1" w:name="_GoBack"/>
      <w:bookmarkEnd w:id="1"/>
      <w:r w:rsidRPr="0058462A">
        <w:rPr>
          <w:rFonts w:eastAsia="Times New Roman" w:cs="Times New Roman"/>
          <w:sz w:val="22"/>
          <w:szCs w:val="22"/>
          <w:lang w:bidi="es-ES"/>
        </w:rPr>
        <w:t xml:space="preserve"> para descargar los informes mundiales y regionales de referencia.</w:t>
      </w:r>
    </w:p>
    <w:sectPr w:rsidR="00FA13E0" w:rsidRPr="00743CEC" w:rsidSect="00CF60D3">
      <w:footerReference w:type="even" r:id="rId21"/>
      <w:footerReference w:type="default" r:id="rId22"/>
      <w:pgSz w:w="12240" w:h="15840" w:code="1"/>
      <w:pgMar w:top="1440" w:right="1008" w:bottom="1440" w:left="1008" w:header="576" w:footer="576"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B7E0287" w14:textId="77777777" w:rsidR="00DA5CA4" w:rsidRDefault="00DA5CA4" w:rsidP="00334405">
      <w:pPr>
        <w:spacing w:after="0" w:line="240" w:lineRule="auto"/>
      </w:pPr>
      <w:r>
        <w:separator/>
      </w:r>
    </w:p>
  </w:endnote>
  <w:endnote w:type="continuationSeparator" w:id="0">
    <w:p w14:paraId="78DCB98F" w14:textId="77777777" w:rsidR="00DA5CA4" w:rsidRDefault="00DA5CA4" w:rsidP="0033440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Arial">
    <w:panose1 w:val="020B0604020202020204"/>
    <w:charset w:val="00"/>
    <w:family w:val="swiss"/>
    <w:pitch w:val="variable"/>
    <w:sig w:usb0="E0002AFF" w:usb1="C0007843"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Lucida Grande">
    <w:altName w:val="Segoe UI"/>
    <w:charset w:val="00"/>
    <w:family w:val="auto"/>
    <w:pitch w:val="variable"/>
    <w:sig w:usb0="E1000AEF" w:usb1="5000A1FF" w:usb2="00000000" w:usb3="00000000" w:csb0="000001B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A00002EF" w:usb1="4000004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BAAB9A1" w14:textId="77777777" w:rsidR="002F2C0A" w:rsidRDefault="002F2C0A" w:rsidP="00B5041A">
    <w:pPr>
      <w:pStyle w:val="Footer"/>
      <w:framePr w:wrap="around" w:vAnchor="text" w:hAnchor="margin" w:xAlign="right" w:y="1"/>
      <w:rPr>
        <w:rStyle w:val="PageNumber"/>
      </w:rPr>
    </w:pPr>
    <w:r>
      <w:rPr>
        <w:rStyle w:val="PageNumber"/>
        <w:lang w:bidi="es-ES"/>
      </w:rPr>
      <w:fldChar w:fldCharType="begin"/>
    </w:r>
    <w:r>
      <w:rPr>
        <w:rStyle w:val="PageNumber"/>
        <w:lang w:bidi="es-ES"/>
      </w:rPr>
      <w:instrText xml:space="preserve">PAGE  </w:instrText>
    </w:r>
    <w:r>
      <w:rPr>
        <w:rStyle w:val="PageNumber"/>
        <w:lang w:bidi="es-ES"/>
      </w:rPr>
      <w:fldChar w:fldCharType="end"/>
    </w:r>
  </w:p>
  <w:p w14:paraId="63AF3F59" w14:textId="77777777" w:rsidR="002F2C0A" w:rsidRDefault="002F2C0A" w:rsidP="000E19F8">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1C2C57A" w14:textId="77777777" w:rsidR="002F2C0A" w:rsidRDefault="002F2C0A" w:rsidP="00B5041A">
    <w:pPr>
      <w:pStyle w:val="Footer"/>
      <w:framePr w:wrap="around" w:vAnchor="text" w:hAnchor="margin" w:xAlign="right" w:y="1"/>
      <w:rPr>
        <w:rStyle w:val="PageNumber"/>
      </w:rPr>
    </w:pPr>
    <w:r>
      <w:rPr>
        <w:rStyle w:val="PageNumber"/>
        <w:lang w:bidi="es-ES"/>
      </w:rPr>
      <w:fldChar w:fldCharType="begin"/>
    </w:r>
    <w:r>
      <w:rPr>
        <w:rStyle w:val="PageNumber"/>
        <w:lang w:bidi="es-ES"/>
      </w:rPr>
      <w:instrText xml:space="preserve">PAGE  </w:instrText>
    </w:r>
    <w:r>
      <w:rPr>
        <w:rStyle w:val="PageNumber"/>
        <w:lang w:bidi="es-ES"/>
      </w:rPr>
      <w:fldChar w:fldCharType="separate"/>
    </w:r>
    <w:r w:rsidR="00922B42">
      <w:rPr>
        <w:rStyle w:val="PageNumber"/>
        <w:noProof/>
        <w:lang w:bidi="es-ES"/>
      </w:rPr>
      <w:t>1</w:t>
    </w:r>
    <w:r>
      <w:rPr>
        <w:rStyle w:val="PageNumber"/>
        <w:lang w:bidi="es-ES"/>
      </w:rPr>
      <w:fldChar w:fldCharType="end"/>
    </w:r>
  </w:p>
  <w:p w14:paraId="0E6EA933" w14:textId="273C77F2" w:rsidR="002F2C0A" w:rsidRPr="006D7259" w:rsidRDefault="000C56C5" w:rsidP="000E19F8">
    <w:pPr>
      <w:pStyle w:val="NoSpacing"/>
      <w:ind w:right="360"/>
      <w:rPr>
        <w:sz w:val="18"/>
        <w:szCs w:val="18"/>
      </w:rPr>
    </w:pPr>
    <w:r w:rsidRPr="006D7259">
      <w:rPr>
        <w:sz w:val="18"/>
        <w:szCs w:val="18"/>
        <w:lang w:bidi="es-ES"/>
      </w:rPr>
      <w:t xml:space="preserve">Guía para el monitoreo del indicador 6.5.1 de los ODS </w:t>
    </w:r>
    <w:r w:rsidR="00AF102C">
      <w:rPr>
        <w:sz w:val="18"/>
        <w:szCs w:val="18"/>
        <w:lang w:bidi="es-ES"/>
      </w:rPr>
      <w:t xml:space="preserve"> 2020</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46DB4A7" w14:textId="77777777" w:rsidR="00DA5CA4" w:rsidRDefault="00DA5CA4" w:rsidP="00334405">
      <w:pPr>
        <w:spacing w:after="0" w:line="240" w:lineRule="auto"/>
      </w:pPr>
      <w:r>
        <w:separator/>
      </w:r>
    </w:p>
  </w:footnote>
  <w:footnote w:type="continuationSeparator" w:id="0">
    <w:p w14:paraId="1A4BAADC" w14:textId="77777777" w:rsidR="00DA5CA4" w:rsidRDefault="00DA5CA4" w:rsidP="00334405">
      <w:pPr>
        <w:spacing w:after="0" w:line="240" w:lineRule="auto"/>
      </w:pPr>
      <w:r>
        <w:continuationSeparator/>
      </w:r>
    </w:p>
  </w:footnote>
  <w:footnote w:id="1">
    <w:p w14:paraId="4DC94DC2" w14:textId="0CB88EBC" w:rsidR="00CD75C4" w:rsidRPr="00463F0B" w:rsidRDefault="00CD75C4" w:rsidP="00CD75C4">
      <w:pPr>
        <w:pStyle w:val="FootnoteText"/>
        <w:rPr>
          <w:sz w:val="20"/>
          <w:szCs w:val="20"/>
        </w:rPr>
      </w:pPr>
      <w:r w:rsidRPr="006D7259">
        <w:rPr>
          <w:rStyle w:val="FootnoteReference"/>
          <w:sz w:val="20"/>
          <w:szCs w:val="20"/>
          <w:lang w:bidi="es-ES"/>
        </w:rPr>
        <w:footnoteRef/>
      </w:r>
      <w:r w:rsidR="00B6771B">
        <w:rPr>
          <w:sz w:val="20"/>
          <w:szCs w:val="20"/>
          <w:lang w:bidi="es-ES"/>
        </w:rPr>
        <w:t xml:space="preserve"> </w:t>
      </w:r>
      <w:r w:rsidRPr="006D7259">
        <w:rPr>
          <w:sz w:val="20"/>
          <w:szCs w:val="20"/>
          <w:lang w:bidi="es-ES"/>
        </w:rPr>
        <w:t xml:space="preserve">Haga clic </w:t>
      </w:r>
      <w:hyperlink r:id="rId1" w:history="1">
        <w:r w:rsidRPr="006E3660">
          <w:rPr>
            <w:rStyle w:val="Hyperlink"/>
            <w:sz w:val="20"/>
            <w:szCs w:val="20"/>
            <w:lang w:bidi="es-ES"/>
          </w:rPr>
          <w:t>aquí</w:t>
        </w:r>
      </w:hyperlink>
      <w:r w:rsidRPr="006D7259">
        <w:rPr>
          <w:sz w:val="20"/>
          <w:szCs w:val="20"/>
          <w:lang w:bidi="es-ES"/>
        </w:rPr>
        <w:t xml:space="preserve"> para descargar la documentación del proceso de revisión y las recomendaciones.</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1D"/>
    <w:multiLevelType w:val="multilevel"/>
    <w:tmpl w:val="2B46786C"/>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4CA7006"/>
    <w:multiLevelType w:val="hybridMultilevel"/>
    <w:tmpl w:val="CAA23CEC"/>
    <w:lvl w:ilvl="0" w:tplc="0406000F">
      <w:start w:val="1"/>
      <w:numFmt w:val="decimal"/>
      <w:lvlText w:val="%1."/>
      <w:lvlJc w:val="left"/>
      <w:pPr>
        <w:ind w:left="360" w:hanging="360"/>
      </w:pPr>
      <w:rPr>
        <w:rFonts w:hint="default"/>
      </w:rPr>
    </w:lvl>
    <w:lvl w:ilvl="1" w:tplc="04060019" w:tentative="1">
      <w:start w:val="1"/>
      <w:numFmt w:val="lowerLetter"/>
      <w:lvlText w:val="%2."/>
      <w:lvlJc w:val="left"/>
      <w:pPr>
        <w:ind w:left="1080" w:hanging="360"/>
      </w:pPr>
    </w:lvl>
    <w:lvl w:ilvl="2" w:tplc="0406001B" w:tentative="1">
      <w:start w:val="1"/>
      <w:numFmt w:val="lowerRoman"/>
      <w:lvlText w:val="%3."/>
      <w:lvlJc w:val="right"/>
      <w:pPr>
        <w:ind w:left="1800" w:hanging="180"/>
      </w:pPr>
    </w:lvl>
    <w:lvl w:ilvl="3" w:tplc="0406000F" w:tentative="1">
      <w:start w:val="1"/>
      <w:numFmt w:val="decimal"/>
      <w:lvlText w:val="%4."/>
      <w:lvlJc w:val="left"/>
      <w:pPr>
        <w:ind w:left="2520" w:hanging="360"/>
      </w:pPr>
    </w:lvl>
    <w:lvl w:ilvl="4" w:tplc="04060019" w:tentative="1">
      <w:start w:val="1"/>
      <w:numFmt w:val="lowerLetter"/>
      <w:lvlText w:val="%5."/>
      <w:lvlJc w:val="left"/>
      <w:pPr>
        <w:ind w:left="3240" w:hanging="360"/>
      </w:pPr>
    </w:lvl>
    <w:lvl w:ilvl="5" w:tplc="0406001B" w:tentative="1">
      <w:start w:val="1"/>
      <w:numFmt w:val="lowerRoman"/>
      <w:lvlText w:val="%6."/>
      <w:lvlJc w:val="right"/>
      <w:pPr>
        <w:ind w:left="3960" w:hanging="180"/>
      </w:pPr>
    </w:lvl>
    <w:lvl w:ilvl="6" w:tplc="0406000F" w:tentative="1">
      <w:start w:val="1"/>
      <w:numFmt w:val="decimal"/>
      <w:lvlText w:val="%7."/>
      <w:lvlJc w:val="left"/>
      <w:pPr>
        <w:ind w:left="4680" w:hanging="360"/>
      </w:pPr>
    </w:lvl>
    <w:lvl w:ilvl="7" w:tplc="04060019" w:tentative="1">
      <w:start w:val="1"/>
      <w:numFmt w:val="lowerLetter"/>
      <w:lvlText w:val="%8."/>
      <w:lvlJc w:val="left"/>
      <w:pPr>
        <w:ind w:left="5400" w:hanging="360"/>
      </w:pPr>
    </w:lvl>
    <w:lvl w:ilvl="8" w:tplc="0406001B" w:tentative="1">
      <w:start w:val="1"/>
      <w:numFmt w:val="lowerRoman"/>
      <w:lvlText w:val="%9."/>
      <w:lvlJc w:val="right"/>
      <w:pPr>
        <w:ind w:left="6120" w:hanging="180"/>
      </w:pPr>
    </w:lvl>
  </w:abstractNum>
  <w:abstractNum w:abstractNumId="2" w15:restartNumberingAfterBreak="0">
    <w:nsid w:val="0FB71241"/>
    <w:multiLevelType w:val="hybridMultilevel"/>
    <w:tmpl w:val="EA240B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10E0784"/>
    <w:multiLevelType w:val="hybridMultilevel"/>
    <w:tmpl w:val="B6CC2994"/>
    <w:lvl w:ilvl="0" w:tplc="04060011">
      <w:start w:val="1"/>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4" w15:restartNumberingAfterBreak="0">
    <w:nsid w:val="191C01AE"/>
    <w:multiLevelType w:val="hybridMultilevel"/>
    <w:tmpl w:val="2004C2B6"/>
    <w:lvl w:ilvl="0" w:tplc="0406001B">
      <w:start w:val="1"/>
      <w:numFmt w:val="lowerRoman"/>
      <w:lvlText w:val="%1."/>
      <w:lvlJc w:val="right"/>
      <w:pPr>
        <w:ind w:left="720" w:hanging="360"/>
      </w:p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5" w15:restartNumberingAfterBreak="0">
    <w:nsid w:val="1C7E5068"/>
    <w:multiLevelType w:val="hybridMultilevel"/>
    <w:tmpl w:val="E7A40AAA"/>
    <w:lvl w:ilvl="0" w:tplc="04060011">
      <w:start w:val="1"/>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6" w15:restartNumberingAfterBreak="0">
    <w:nsid w:val="1CC27232"/>
    <w:multiLevelType w:val="hybridMultilevel"/>
    <w:tmpl w:val="8EEC9D70"/>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7" w15:restartNumberingAfterBreak="0">
    <w:nsid w:val="1CED5A73"/>
    <w:multiLevelType w:val="hybridMultilevel"/>
    <w:tmpl w:val="683EAD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2596050"/>
    <w:multiLevelType w:val="hybridMultilevel"/>
    <w:tmpl w:val="65C829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D357553"/>
    <w:multiLevelType w:val="hybridMultilevel"/>
    <w:tmpl w:val="7BA044C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3CD61877"/>
    <w:multiLevelType w:val="hybridMultilevel"/>
    <w:tmpl w:val="6EDC88C8"/>
    <w:lvl w:ilvl="0" w:tplc="0406000F">
      <w:start w:val="1"/>
      <w:numFmt w:val="decimal"/>
      <w:lvlText w:val="%1."/>
      <w:lvlJc w:val="left"/>
      <w:pPr>
        <w:ind w:left="720" w:hanging="360"/>
      </w:pPr>
    </w:lvl>
    <w:lvl w:ilvl="1" w:tplc="04060019" w:tentative="1">
      <w:start w:val="1"/>
      <w:numFmt w:val="lowerLetter"/>
      <w:lvlText w:val="%2."/>
      <w:lvlJc w:val="left"/>
      <w:pPr>
        <w:ind w:left="1800" w:hanging="360"/>
      </w:pPr>
    </w:lvl>
    <w:lvl w:ilvl="2" w:tplc="0406001B" w:tentative="1">
      <w:start w:val="1"/>
      <w:numFmt w:val="lowerRoman"/>
      <w:lvlText w:val="%3."/>
      <w:lvlJc w:val="right"/>
      <w:pPr>
        <w:ind w:left="2520" w:hanging="180"/>
      </w:pPr>
    </w:lvl>
    <w:lvl w:ilvl="3" w:tplc="0406000F" w:tentative="1">
      <w:start w:val="1"/>
      <w:numFmt w:val="decimal"/>
      <w:lvlText w:val="%4."/>
      <w:lvlJc w:val="left"/>
      <w:pPr>
        <w:ind w:left="3240" w:hanging="360"/>
      </w:pPr>
    </w:lvl>
    <w:lvl w:ilvl="4" w:tplc="04060019" w:tentative="1">
      <w:start w:val="1"/>
      <w:numFmt w:val="lowerLetter"/>
      <w:lvlText w:val="%5."/>
      <w:lvlJc w:val="left"/>
      <w:pPr>
        <w:ind w:left="3960" w:hanging="360"/>
      </w:pPr>
    </w:lvl>
    <w:lvl w:ilvl="5" w:tplc="0406001B" w:tentative="1">
      <w:start w:val="1"/>
      <w:numFmt w:val="lowerRoman"/>
      <w:lvlText w:val="%6."/>
      <w:lvlJc w:val="right"/>
      <w:pPr>
        <w:ind w:left="4680" w:hanging="180"/>
      </w:pPr>
    </w:lvl>
    <w:lvl w:ilvl="6" w:tplc="0406000F" w:tentative="1">
      <w:start w:val="1"/>
      <w:numFmt w:val="decimal"/>
      <w:lvlText w:val="%7."/>
      <w:lvlJc w:val="left"/>
      <w:pPr>
        <w:ind w:left="5400" w:hanging="360"/>
      </w:pPr>
    </w:lvl>
    <w:lvl w:ilvl="7" w:tplc="04060019" w:tentative="1">
      <w:start w:val="1"/>
      <w:numFmt w:val="lowerLetter"/>
      <w:lvlText w:val="%8."/>
      <w:lvlJc w:val="left"/>
      <w:pPr>
        <w:ind w:left="6120" w:hanging="360"/>
      </w:pPr>
    </w:lvl>
    <w:lvl w:ilvl="8" w:tplc="0406001B" w:tentative="1">
      <w:start w:val="1"/>
      <w:numFmt w:val="lowerRoman"/>
      <w:lvlText w:val="%9."/>
      <w:lvlJc w:val="right"/>
      <w:pPr>
        <w:ind w:left="6840" w:hanging="180"/>
      </w:pPr>
    </w:lvl>
  </w:abstractNum>
  <w:abstractNum w:abstractNumId="11" w15:restartNumberingAfterBreak="0">
    <w:nsid w:val="45592DA5"/>
    <w:multiLevelType w:val="hybridMultilevel"/>
    <w:tmpl w:val="A6601A16"/>
    <w:lvl w:ilvl="0" w:tplc="08090001">
      <w:start w:val="1"/>
      <w:numFmt w:val="bullet"/>
      <w:lvlText w:val=""/>
      <w:lvlJc w:val="left"/>
      <w:pPr>
        <w:ind w:left="767" w:hanging="360"/>
      </w:pPr>
      <w:rPr>
        <w:rFonts w:ascii="Symbol" w:hAnsi="Symbol" w:hint="default"/>
      </w:rPr>
    </w:lvl>
    <w:lvl w:ilvl="1" w:tplc="08090003" w:tentative="1">
      <w:start w:val="1"/>
      <w:numFmt w:val="bullet"/>
      <w:lvlText w:val="o"/>
      <w:lvlJc w:val="left"/>
      <w:pPr>
        <w:ind w:left="1487" w:hanging="360"/>
      </w:pPr>
      <w:rPr>
        <w:rFonts w:ascii="Courier New" w:hAnsi="Courier New" w:cs="Courier New" w:hint="default"/>
      </w:rPr>
    </w:lvl>
    <w:lvl w:ilvl="2" w:tplc="08090005" w:tentative="1">
      <w:start w:val="1"/>
      <w:numFmt w:val="bullet"/>
      <w:lvlText w:val=""/>
      <w:lvlJc w:val="left"/>
      <w:pPr>
        <w:ind w:left="2207" w:hanging="360"/>
      </w:pPr>
      <w:rPr>
        <w:rFonts w:ascii="Wingdings" w:hAnsi="Wingdings" w:hint="default"/>
      </w:rPr>
    </w:lvl>
    <w:lvl w:ilvl="3" w:tplc="08090001" w:tentative="1">
      <w:start w:val="1"/>
      <w:numFmt w:val="bullet"/>
      <w:lvlText w:val=""/>
      <w:lvlJc w:val="left"/>
      <w:pPr>
        <w:ind w:left="2927" w:hanging="360"/>
      </w:pPr>
      <w:rPr>
        <w:rFonts w:ascii="Symbol" w:hAnsi="Symbol" w:hint="default"/>
      </w:rPr>
    </w:lvl>
    <w:lvl w:ilvl="4" w:tplc="08090003" w:tentative="1">
      <w:start w:val="1"/>
      <w:numFmt w:val="bullet"/>
      <w:lvlText w:val="o"/>
      <w:lvlJc w:val="left"/>
      <w:pPr>
        <w:ind w:left="3647" w:hanging="360"/>
      </w:pPr>
      <w:rPr>
        <w:rFonts w:ascii="Courier New" w:hAnsi="Courier New" w:cs="Courier New" w:hint="default"/>
      </w:rPr>
    </w:lvl>
    <w:lvl w:ilvl="5" w:tplc="08090005" w:tentative="1">
      <w:start w:val="1"/>
      <w:numFmt w:val="bullet"/>
      <w:lvlText w:val=""/>
      <w:lvlJc w:val="left"/>
      <w:pPr>
        <w:ind w:left="4367" w:hanging="360"/>
      </w:pPr>
      <w:rPr>
        <w:rFonts w:ascii="Wingdings" w:hAnsi="Wingdings" w:hint="default"/>
      </w:rPr>
    </w:lvl>
    <w:lvl w:ilvl="6" w:tplc="08090001" w:tentative="1">
      <w:start w:val="1"/>
      <w:numFmt w:val="bullet"/>
      <w:lvlText w:val=""/>
      <w:lvlJc w:val="left"/>
      <w:pPr>
        <w:ind w:left="5087" w:hanging="360"/>
      </w:pPr>
      <w:rPr>
        <w:rFonts w:ascii="Symbol" w:hAnsi="Symbol" w:hint="default"/>
      </w:rPr>
    </w:lvl>
    <w:lvl w:ilvl="7" w:tplc="08090003" w:tentative="1">
      <w:start w:val="1"/>
      <w:numFmt w:val="bullet"/>
      <w:lvlText w:val="o"/>
      <w:lvlJc w:val="left"/>
      <w:pPr>
        <w:ind w:left="5807" w:hanging="360"/>
      </w:pPr>
      <w:rPr>
        <w:rFonts w:ascii="Courier New" w:hAnsi="Courier New" w:cs="Courier New" w:hint="default"/>
      </w:rPr>
    </w:lvl>
    <w:lvl w:ilvl="8" w:tplc="08090005" w:tentative="1">
      <w:start w:val="1"/>
      <w:numFmt w:val="bullet"/>
      <w:lvlText w:val=""/>
      <w:lvlJc w:val="left"/>
      <w:pPr>
        <w:ind w:left="6527" w:hanging="360"/>
      </w:pPr>
      <w:rPr>
        <w:rFonts w:ascii="Wingdings" w:hAnsi="Wingdings" w:hint="default"/>
      </w:rPr>
    </w:lvl>
  </w:abstractNum>
  <w:abstractNum w:abstractNumId="12" w15:restartNumberingAfterBreak="0">
    <w:nsid w:val="46AE375B"/>
    <w:multiLevelType w:val="hybridMultilevel"/>
    <w:tmpl w:val="122EE6D4"/>
    <w:lvl w:ilvl="0" w:tplc="AFD40166">
      <w:start w:val="1"/>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13" w15:restartNumberingAfterBreak="0">
    <w:nsid w:val="5C0A3ED3"/>
    <w:multiLevelType w:val="multilevel"/>
    <w:tmpl w:val="DE5E7778"/>
    <w:lvl w:ilvl="0">
      <w:start w:val="1"/>
      <w:numFmt w:val="decimal"/>
      <w:pStyle w:val="Heading1"/>
      <w:lvlText w:val="%1."/>
      <w:lvlJc w:val="left"/>
      <w:pPr>
        <w:ind w:left="720" w:hanging="360"/>
      </w:pPr>
      <w:rPr>
        <w:rFonts w:hint="default"/>
      </w:rPr>
    </w:lvl>
    <w:lvl w:ilvl="1">
      <w:start w:val="1"/>
      <w:numFmt w:val="decimal"/>
      <w:pStyle w:val="Heading2"/>
      <w:isLgl/>
      <w:lvlText w:val="%1.%2"/>
      <w:lvlJc w:val="left"/>
      <w:pPr>
        <w:ind w:left="1080" w:hanging="720"/>
      </w:pPr>
      <w:rPr>
        <w:rFonts w:hint="default"/>
      </w:rPr>
    </w:lvl>
    <w:lvl w:ilvl="2">
      <w:start w:val="1"/>
      <w:numFmt w:val="decimal"/>
      <w:pStyle w:val="Heading3"/>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080" w:hanging="72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440" w:hanging="108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4" w15:restartNumberingAfterBreak="0">
    <w:nsid w:val="5C1553F5"/>
    <w:multiLevelType w:val="hybridMultilevel"/>
    <w:tmpl w:val="5A5AA8AE"/>
    <w:lvl w:ilvl="0" w:tplc="04060001">
      <w:start w:val="1"/>
      <w:numFmt w:val="bullet"/>
      <w:lvlText w:val=""/>
      <w:lvlJc w:val="left"/>
      <w:pPr>
        <w:ind w:left="1800" w:hanging="360"/>
      </w:pPr>
      <w:rPr>
        <w:rFonts w:ascii="Symbol" w:hAnsi="Symbol" w:hint="default"/>
      </w:rPr>
    </w:lvl>
    <w:lvl w:ilvl="1" w:tplc="04060003" w:tentative="1">
      <w:start w:val="1"/>
      <w:numFmt w:val="bullet"/>
      <w:lvlText w:val="o"/>
      <w:lvlJc w:val="left"/>
      <w:pPr>
        <w:ind w:left="2520" w:hanging="360"/>
      </w:pPr>
      <w:rPr>
        <w:rFonts w:ascii="Courier New" w:hAnsi="Courier New" w:cs="Courier New" w:hint="default"/>
      </w:rPr>
    </w:lvl>
    <w:lvl w:ilvl="2" w:tplc="04060005" w:tentative="1">
      <w:start w:val="1"/>
      <w:numFmt w:val="bullet"/>
      <w:lvlText w:val=""/>
      <w:lvlJc w:val="left"/>
      <w:pPr>
        <w:ind w:left="3240" w:hanging="360"/>
      </w:pPr>
      <w:rPr>
        <w:rFonts w:ascii="Wingdings" w:hAnsi="Wingdings" w:hint="default"/>
      </w:rPr>
    </w:lvl>
    <w:lvl w:ilvl="3" w:tplc="04060001" w:tentative="1">
      <w:start w:val="1"/>
      <w:numFmt w:val="bullet"/>
      <w:lvlText w:val=""/>
      <w:lvlJc w:val="left"/>
      <w:pPr>
        <w:ind w:left="3960" w:hanging="360"/>
      </w:pPr>
      <w:rPr>
        <w:rFonts w:ascii="Symbol" w:hAnsi="Symbol" w:hint="default"/>
      </w:rPr>
    </w:lvl>
    <w:lvl w:ilvl="4" w:tplc="04060003" w:tentative="1">
      <w:start w:val="1"/>
      <w:numFmt w:val="bullet"/>
      <w:lvlText w:val="o"/>
      <w:lvlJc w:val="left"/>
      <w:pPr>
        <w:ind w:left="4680" w:hanging="360"/>
      </w:pPr>
      <w:rPr>
        <w:rFonts w:ascii="Courier New" w:hAnsi="Courier New" w:cs="Courier New" w:hint="default"/>
      </w:rPr>
    </w:lvl>
    <w:lvl w:ilvl="5" w:tplc="04060005" w:tentative="1">
      <w:start w:val="1"/>
      <w:numFmt w:val="bullet"/>
      <w:lvlText w:val=""/>
      <w:lvlJc w:val="left"/>
      <w:pPr>
        <w:ind w:left="5400" w:hanging="360"/>
      </w:pPr>
      <w:rPr>
        <w:rFonts w:ascii="Wingdings" w:hAnsi="Wingdings" w:hint="default"/>
      </w:rPr>
    </w:lvl>
    <w:lvl w:ilvl="6" w:tplc="04060001" w:tentative="1">
      <w:start w:val="1"/>
      <w:numFmt w:val="bullet"/>
      <w:lvlText w:val=""/>
      <w:lvlJc w:val="left"/>
      <w:pPr>
        <w:ind w:left="6120" w:hanging="360"/>
      </w:pPr>
      <w:rPr>
        <w:rFonts w:ascii="Symbol" w:hAnsi="Symbol" w:hint="default"/>
      </w:rPr>
    </w:lvl>
    <w:lvl w:ilvl="7" w:tplc="04060003" w:tentative="1">
      <w:start w:val="1"/>
      <w:numFmt w:val="bullet"/>
      <w:lvlText w:val="o"/>
      <w:lvlJc w:val="left"/>
      <w:pPr>
        <w:ind w:left="6840" w:hanging="360"/>
      </w:pPr>
      <w:rPr>
        <w:rFonts w:ascii="Courier New" w:hAnsi="Courier New" w:cs="Courier New" w:hint="default"/>
      </w:rPr>
    </w:lvl>
    <w:lvl w:ilvl="8" w:tplc="04060005" w:tentative="1">
      <w:start w:val="1"/>
      <w:numFmt w:val="bullet"/>
      <w:lvlText w:val=""/>
      <w:lvlJc w:val="left"/>
      <w:pPr>
        <w:ind w:left="7560" w:hanging="360"/>
      </w:pPr>
      <w:rPr>
        <w:rFonts w:ascii="Wingdings" w:hAnsi="Wingdings" w:hint="default"/>
      </w:rPr>
    </w:lvl>
  </w:abstractNum>
  <w:abstractNum w:abstractNumId="15" w15:restartNumberingAfterBreak="0">
    <w:nsid w:val="5E8601FE"/>
    <w:multiLevelType w:val="hybridMultilevel"/>
    <w:tmpl w:val="4462F5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5F6B4914"/>
    <w:multiLevelType w:val="hybridMultilevel"/>
    <w:tmpl w:val="9B06A6B0"/>
    <w:lvl w:ilvl="0" w:tplc="04060011">
      <w:start w:val="1"/>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17" w15:restartNumberingAfterBreak="0">
    <w:nsid w:val="6C844E02"/>
    <w:multiLevelType w:val="hybridMultilevel"/>
    <w:tmpl w:val="2EBEB616"/>
    <w:lvl w:ilvl="0" w:tplc="0406000F">
      <w:start w:val="1"/>
      <w:numFmt w:val="decimal"/>
      <w:lvlText w:val="%1."/>
      <w:lvlJc w:val="left"/>
      <w:pPr>
        <w:ind w:left="360" w:hanging="360"/>
      </w:pPr>
    </w:lvl>
    <w:lvl w:ilvl="1" w:tplc="04060001">
      <w:start w:val="1"/>
      <w:numFmt w:val="bullet"/>
      <w:lvlText w:val=""/>
      <w:lvlJc w:val="left"/>
      <w:pPr>
        <w:ind w:left="1080" w:hanging="360"/>
      </w:pPr>
      <w:rPr>
        <w:rFonts w:ascii="Symbol" w:hAnsi="Symbol" w:hint="default"/>
      </w:rPr>
    </w:lvl>
    <w:lvl w:ilvl="2" w:tplc="0406001B">
      <w:start w:val="1"/>
      <w:numFmt w:val="lowerRoman"/>
      <w:lvlText w:val="%3."/>
      <w:lvlJc w:val="right"/>
      <w:pPr>
        <w:ind w:left="1800" w:hanging="180"/>
      </w:pPr>
    </w:lvl>
    <w:lvl w:ilvl="3" w:tplc="08BEDAE0">
      <w:start w:val="10"/>
      <w:numFmt w:val="lowerRoman"/>
      <w:lvlText w:val="%4)"/>
      <w:lvlJc w:val="left"/>
      <w:pPr>
        <w:ind w:left="2880" w:hanging="720"/>
      </w:pPr>
      <w:rPr>
        <w:rFonts w:hint="default"/>
      </w:rPr>
    </w:lvl>
    <w:lvl w:ilvl="4" w:tplc="04060019" w:tentative="1">
      <w:start w:val="1"/>
      <w:numFmt w:val="lowerLetter"/>
      <w:lvlText w:val="%5."/>
      <w:lvlJc w:val="left"/>
      <w:pPr>
        <w:ind w:left="3240" w:hanging="360"/>
      </w:pPr>
    </w:lvl>
    <w:lvl w:ilvl="5" w:tplc="0406001B" w:tentative="1">
      <w:start w:val="1"/>
      <w:numFmt w:val="lowerRoman"/>
      <w:lvlText w:val="%6."/>
      <w:lvlJc w:val="right"/>
      <w:pPr>
        <w:ind w:left="3960" w:hanging="180"/>
      </w:pPr>
    </w:lvl>
    <w:lvl w:ilvl="6" w:tplc="0406000F" w:tentative="1">
      <w:start w:val="1"/>
      <w:numFmt w:val="decimal"/>
      <w:lvlText w:val="%7."/>
      <w:lvlJc w:val="left"/>
      <w:pPr>
        <w:ind w:left="4680" w:hanging="360"/>
      </w:pPr>
    </w:lvl>
    <w:lvl w:ilvl="7" w:tplc="04060019" w:tentative="1">
      <w:start w:val="1"/>
      <w:numFmt w:val="lowerLetter"/>
      <w:lvlText w:val="%8."/>
      <w:lvlJc w:val="left"/>
      <w:pPr>
        <w:ind w:left="5400" w:hanging="360"/>
      </w:pPr>
    </w:lvl>
    <w:lvl w:ilvl="8" w:tplc="0406001B" w:tentative="1">
      <w:start w:val="1"/>
      <w:numFmt w:val="lowerRoman"/>
      <w:lvlText w:val="%9."/>
      <w:lvlJc w:val="right"/>
      <w:pPr>
        <w:ind w:left="6120" w:hanging="180"/>
      </w:pPr>
    </w:lvl>
  </w:abstractNum>
  <w:abstractNum w:abstractNumId="18" w15:restartNumberingAfterBreak="0">
    <w:nsid w:val="772C1C2B"/>
    <w:multiLevelType w:val="hybridMultilevel"/>
    <w:tmpl w:val="C71AD548"/>
    <w:lvl w:ilvl="0" w:tplc="0406000F">
      <w:start w:val="1"/>
      <w:numFmt w:val="decimal"/>
      <w:lvlText w:val="%1."/>
      <w:lvlJc w:val="left"/>
      <w:pPr>
        <w:ind w:left="360" w:hanging="360"/>
      </w:pPr>
    </w:lvl>
    <w:lvl w:ilvl="1" w:tplc="04060001">
      <w:start w:val="1"/>
      <w:numFmt w:val="bullet"/>
      <w:lvlText w:val=""/>
      <w:lvlJc w:val="left"/>
      <w:pPr>
        <w:ind w:left="1080" w:hanging="360"/>
      </w:pPr>
      <w:rPr>
        <w:rFonts w:ascii="Symbol" w:hAnsi="Symbol" w:hint="default"/>
      </w:rPr>
    </w:lvl>
    <w:lvl w:ilvl="2" w:tplc="0406001B">
      <w:start w:val="1"/>
      <w:numFmt w:val="lowerRoman"/>
      <w:lvlText w:val="%3."/>
      <w:lvlJc w:val="right"/>
      <w:pPr>
        <w:ind w:left="1800" w:hanging="180"/>
      </w:pPr>
    </w:lvl>
    <w:lvl w:ilvl="3" w:tplc="08BEDAE0">
      <w:start w:val="10"/>
      <w:numFmt w:val="lowerRoman"/>
      <w:lvlText w:val="%4)"/>
      <w:lvlJc w:val="left"/>
      <w:pPr>
        <w:ind w:left="2880" w:hanging="720"/>
      </w:pPr>
      <w:rPr>
        <w:rFonts w:hint="default"/>
      </w:rPr>
    </w:lvl>
    <w:lvl w:ilvl="4" w:tplc="04060019" w:tentative="1">
      <w:start w:val="1"/>
      <w:numFmt w:val="lowerLetter"/>
      <w:lvlText w:val="%5."/>
      <w:lvlJc w:val="left"/>
      <w:pPr>
        <w:ind w:left="3240" w:hanging="360"/>
      </w:pPr>
    </w:lvl>
    <w:lvl w:ilvl="5" w:tplc="0406001B" w:tentative="1">
      <w:start w:val="1"/>
      <w:numFmt w:val="lowerRoman"/>
      <w:lvlText w:val="%6."/>
      <w:lvlJc w:val="right"/>
      <w:pPr>
        <w:ind w:left="3960" w:hanging="180"/>
      </w:pPr>
    </w:lvl>
    <w:lvl w:ilvl="6" w:tplc="0406000F" w:tentative="1">
      <w:start w:val="1"/>
      <w:numFmt w:val="decimal"/>
      <w:lvlText w:val="%7."/>
      <w:lvlJc w:val="left"/>
      <w:pPr>
        <w:ind w:left="4680" w:hanging="360"/>
      </w:pPr>
    </w:lvl>
    <w:lvl w:ilvl="7" w:tplc="04060019" w:tentative="1">
      <w:start w:val="1"/>
      <w:numFmt w:val="lowerLetter"/>
      <w:lvlText w:val="%8."/>
      <w:lvlJc w:val="left"/>
      <w:pPr>
        <w:ind w:left="5400" w:hanging="360"/>
      </w:pPr>
    </w:lvl>
    <w:lvl w:ilvl="8" w:tplc="0406001B" w:tentative="1">
      <w:start w:val="1"/>
      <w:numFmt w:val="lowerRoman"/>
      <w:lvlText w:val="%9."/>
      <w:lvlJc w:val="right"/>
      <w:pPr>
        <w:ind w:left="6120" w:hanging="180"/>
      </w:pPr>
    </w:lvl>
  </w:abstractNum>
  <w:num w:numId="1">
    <w:abstractNumId w:val="13"/>
  </w:num>
  <w:num w:numId="2">
    <w:abstractNumId w:val="8"/>
  </w:num>
  <w:num w:numId="3">
    <w:abstractNumId w:val="15"/>
  </w:num>
  <w:num w:numId="4">
    <w:abstractNumId w:val="2"/>
  </w:num>
  <w:num w:numId="5">
    <w:abstractNumId w:val="3"/>
  </w:num>
  <w:num w:numId="6">
    <w:abstractNumId w:val="18"/>
  </w:num>
  <w:num w:numId="7">
    <w:abstractNumId w:val="10"/>
  </w:num>
  <w:num w:numId="8">
    <w:abstractNumId w:val="14"/>
  </w:num>
  <w:num w:numId="9">
    <w:abstractNumId w:val="4"/>
  </w:num>
  <w:num w:numId="10">
    <w:abstractNumId w:val="5"/>
  </w:num>
  <w:num w:numId="11">
    <w:abstractNumId w:val="9"/>
  </w:num>
  <w:num w:numId="12">
    <w:abstractNumId w:val="7"/>
  </w:num>
  <w:num w:numId="13">
    <w:abstractNumId w:val="16"/>
  </w:num>
  <w:num w:numId="14">
    <w:abstractNumId w:val="17"/>
  </w:num>
  <w:num w:numId="15">
    <w:abstractNumId w:val="1"/>
  </w:num>
  <w:num w:numId="16">
    <w:abstractNumId w:val="12"/>
  </w:num>
  <w:num w:numId="17">
    <w:abstractNumId w:val="6"/>
  </w:num>
  <w:num w:numId="18">
    <w:abstractNumId w:val="11"/>
  </w:num>
  <w:num w:numId="1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attachedTemplate r:id="rId1"/>
  <w:defaultTabStop w:val="720"/>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C3EAC"/>
    <w:rsid w:val="00004760"/>
    <w:rsid w:val="00007506"/>
    <w:rsid w:val="0000794A"/>
    <w:rsid w:val="00007BC4"/>
    <w:rsid w:val="0001434B"/>
    <w:rsid w:val="000148DC"/>
    <w:rsid w:val="00014BE3"/>
    <w:rsid w:val="00016EDB"/>
    <w:rsid w:val="000223C0"/>
    <w:rsid w:val="00022DAF"/>
    <w:rsid w:val="00023421"/>
    <w:rsid w:val="00024974"/>
    <w:rsid w:val="00030851"/>
    <w:rsid w:val="000320C4"/>
    <w:rsid w:val="00037D3D"/>
    <w:rsid w:val="00044A82"/>
    <w:rsid w:val="00045A75"/>
    <w:rsid w:val="00047FAD"/>
    <w:rsid w:val="0005091E"/>
    <w:rsid w:val="00051DC7"/>
    <w:rsid w:val="000563D4"/>
    <w:rsid w:val="00057D8A"/>
    <w:rsid w:val="0006062A"/>
    <w:rsid w:val="0006165D"/>
    <w:rsid w:val="00065B5E"/>
    <w:rsid w:val="00065DB3"/>
    <w:rsid w:val="0006757E"/>
    <w:rsid w:val="00071EE8"/>
    <w:rsid w:val="00072454"/>
    <w:rsid w:val="000746C1"/>
    <w:rsid w:val="00077E47"/>
    <w:rsid w:val="00080AE1"/>
    <w:rsid w:val="0008178A"/>
    <w:rsid w:val="00081D04"/>
    <w:rsid w:val="00081F86"/>
    <w:rsid w:val="000830E3"/>
    <w:rsid w:val="00084DF8"/>
    <w:rsid w:val="00086C5A"/>
    <w:rsid w:val="00093970"/>
    <w:rsid w:val="000961C8"/>
    <w:rsid w:val="0009685C"/>
    <w:rsid w:val="00096D18"/>
    <w:rsid w:val="000A17C6"/>
    <w:rsid w:val="000A5312"/>
    <w:rsid w:val="000A64E8"/>
    <w:rsid w:val="000A7A6D"/>
    <w:rsid w:val="000B5851"/>
    <w:rsid w:val="000C0202"/>
    <w:rsid w:val="000C56C5"/>
    <w:rsid w:val="000D12D1"/>
    <w:rsid w:val="000D191A"/>
    <w:rsid w:val="000D191B"/>
    <w:rsid w:val="000D3DBD"/>
    <w:rsid w:val="000D78F8"/>
    <w:rsid w:val="000E19F8"/>
    <w:rsid w:val="000E6AFB"/>
    <w:rsid w:val="000E749B"/>
    <w:rsid w:val="000E7A8A"/>
    <w:rsid w:val="000F2510"/>
    <w:rsid w:val="001178D3"/>
    <w:rsid w:val="001246C7"/>
    <w:rsid w:val="00126B80"/>
    <w:rsid w:val="001271D2"/>
    <w:rsid w:val="001302AF"/>
    <w:rsid w:val="0013587F"/>
    <w:rsid w:val="001369DE"/>
    <w:rsid w:val="00137ACC"/>
    <w:rsid w:val="001405D5"/>
    <w:rsid w:val="00141D6D"/>
    <w:rsid w:val="00144B0F"/>
    <w:rsid w:val="00144ED3"/>
    <w:rsid w:val="00145BEF"/>
    <w:rsid w:val="00146A37"/>
    <w:rsid w:val="0015028D"/>
    <w:rsid w:val="00151EDC"/>
    <w:rsid w:val="001539CF"/>
    <w:rsid w:val="00156283"/>
    <w:rsid w:val="001570EF"/>
    <w:rsid w:val="00161AAB"/>
    <w:rsid w:val="0016236A"/>
    <w:rsid w:val="001631DB"/>
    <w:rsid w:val="00163B30"/>
    <w:rsid w:val="0016430D"/>
    <w:rsid w:val="0016441C"/>
    <w:rsid w:val="00164794"/>
    <w:rsid w:val="00167487"/>
    <w:rsid w:val="00170A90"/>
    <w:rsid w:val="001727BC"/>
    <w:rsid w:val="00173308"/>
    <w:rsid w:val="0017584B"/>
    <w:rsid w:val="0017646D"/>
    <w:rsid w:val="00176AE1"/>
    <w:rsid w:val="00182A88"/>
    <w:rsid w:val="00183010"/>
    <w:rsid w:val="00186C0A"/>
    <w:rsid w:val="00187567"/>
    <w:rsid w:val="001A0B59"/>
    <w:rsid w:val="001A4F74"/>
    <w:rsid w:val="001A7E86"/>
    <w:rsid w:val="001B3595"/>
    <w:rsid w:val="001B503E"/>
    <w:rsid w:val="001B51DF"/>
    <w:rsid w:val="001B591D"/>
    <w:rsid w:val="001B5A3E"/>
    <w:rsid w:val="001B7FDA"/>
    <w:rsid w:val="001C16BB"/>
    <w:rsid w:val="001D021D"/>
    <w:rsid w:val="001D2E95"/>
    <w:rsid w:val="001D2F83"/>
    <w:rsid w:val="001D6700"/>
    <w:rsid w:val="001D6A7C"/>
    <w:rsid w:val="001D7D11"/>
    <w:rsid w:val="001E10F0"/>
    <w:rsid w:val="001E1D6A"/>
    <w:rsid w:val="001E2A2F"/>
    <w:rsid w:val="001E4FB3"/>
    <w:rsid w:val="001E59B3"/>
    <w:rsid w:val="001E5A54"/>
    <w:rsid w:val="001E5E22"/>
    <w:rsid w:val="001E6090"/>
    <w:rsid w:val="001E7CE0"/>
    <w:rsid w:val="001F2CB8"/>
    <w:rsid w:val="00200ED1"/>
    <w:rsid w:val="00205970"/>
    <w:rsid w:val="00205988"/>
    <w:rsid w:val="00205A99"/>
    <w:rsid w:val="00212661"/>
    <w:rsid w:val="00212A67"/>
    <w:rsid w:val="00212DCC"/>
    <w:rsid w:val="002140CC"/>
    <w:rsid w:val="00214AF0"/>
    <w:rsid w:val="00223C90"/>
    <w:rsid w:val="00226654"/>
    <w:rsid w:val="00231928"/>
    <w:rsid w:val="00233F56"/>
    <w:rsid w:val="00234D6B"/>
    <w:rsid w:val="00236D5A"/>
    <w:rsid w:val="00237973"/>
    <w:rsid w:val="00242E12"/>
    <w:rsid w:val="00246DF1"/>
    <w:rsid w:val="00247AE3"/>
    <w:rsid w:val="00256B36"/>
    <w:rsid w:val="002609E8"/>
    <w:rsid w:val="00262B20"/>
    <w:rsid w:val="00264733"/>
    <w:rsid w:val="002664BB"/>
    <w:rsid w:val="00273B4E"/>
    <w:rsid w:val="002802FE"/>
    <w:rsid w:val="0028110C"/>
    <w:rsid w:val="002811C3"/>
    <w:rsid w:val="00282249"/>
    <w:rsid w:val="002846B4"/>
    <w:rsid w:val="00285110"/>
    <w:rsid w:val="0028535A"/>
    <w:rsid w:val="002858A8"/>
    <w:rsid w:val="002861ED"/>
    <w:rsid w:val="00286F58"/>
    <w:rsid w:val="0028722E"/>
    <w:rsid w:val="00290790"/>
    <w:rsid w:val="00293B49"/>
    <w:rsid w:val="00296A4F"/>
    <w:rsid w:val="00296E7C"/>
    <w:rsid w:val="00297B2C"/>
    <w:rsid w:val="002A1610"/>
    <w:rsid w:val="002A5050"/>
    <w:rsid w:val="002B371E"/>
    <w:rsid w:val="002B4C55"/>
    <w:rsid w:val="002B5281"/>
    <w:rsid w:val="002B6E59"/>
    <w:rsid w:val="002C438C"/>
    <w:rsid w:val="002C4563"/>
    <w:rsid w:val="002C79DE"/>
    <w:rsid w:val="002C7EA2"/>
    <w:rsid w:val="002D0E06"/>
    <w:rsid w:val="002D2469"/>
    <w:rsid w:val="002D3C0C"/>
    <w:rsid w:val="002D3C55"/>
    <w:rsid w:val="002D6999"/>
    <w:rsid w:val="002E2F5E"/>
    <w:rsid w:val="002E30AF"/>
    <w:rsid w:val="002E4C92"/>
    <w:rsid w:val="002E4F6C"/>
    <w:rsid w:val="002F0CBE"/>
    <w:rsid w:val="002F15BB"/>
    <w:rsid w:val="002F18BB"/>
    <w:rsid w:val="002F22C4"/>
    <w:rsid w:val="002F2C0A"/>
    <w:rsid w:val="002F6FE2"/>
    <w:rsid w:val="003004FD"/>
    <w:rsid w:val="003014D5"/>
    <w:rsid w:val="00305450"/>
    <w:rsid w:val="00305C89"/>
    <w:rsid w:val="00305D6B"/>
    <w:rsid w:val="00306538"/>
    <w:rsid w:val="0031034D"/>
    <w:rsid w:val="00310C8C"/>
    <w:rsid w:val="00312920"/>
    <w:rsid w:val="00314827"/>
    <w:rsid w:val="0031600E"/>
    <w:rsid w:val="003206E9"/>
    <w:rsid w:val="003209D7"/>
    <w:rsid w:val="003217B6"/>
    <w:rsid w:val="00322D7B"/>
    <w:rsid w:val="003233F1"/>
    <w:rsid w:val="00324D80"/>
    <w:rsid w:val="00324FBA"/>
    <w:rsid w:val="00325486"/>
    <w:rsid w:val="00331344"/>
    <w:rsid w:val="00332386"/>
    <w:rsid w:val="00332B32"/>
    <w:rsid w:val="00334405"/>
    <w:rsid w:val="00337FAB"/>
    <w:rsid w:val="00341B4D"/>
    <w:rsid w:val="00346BF8"/>
    <w:rsid w:val="00347DEA"/>
    <w:rsid w:val="003510A2"/>
    <w:rsid w:val="003531E2"/>
    <w:rsid w:val="00363166"/>
    <w:rsid w:val="00363847"/>
    <w:rsid w:val="003645F4"/>
    <w:rsid w:val="00364793"/>
    <w:rsid w:val="00366744"/>
    <w:rsid w:val="00366FBF"/>
    <w:rsid w:val="003701A1"/>
    <w:rsid w:val="00370F5A"/>
    <w:rsid w:val="003711F9"/>
    <w:rsid w:val="00380C06"/>
    <w:rsid w:val="00381903"/>
    <w:rsid w:val="003876CA"/>
    <w:rsid w:val="00390AD1"/>
    <w:rsid w:val="00390D14"/>
    <w:rsid w:val="00395836"/>
    <w:rsid w:val="003972C6"/>
    <w:rsid w:val="003A0476"/>
    <w:rsid w:val="003A5A2F"/>
    <w:rsid w:val="003A6BDD"/>
    <w:rsid w:val="003A7AD7"/>
    <w:rsid w:val="003B497C"/>
    <w:rsid w:val="003B6D6B"/>
    <w:rsid w:val="003B7CE6"/>
    <w:rsid w:val="003C176C"/>
    <w:rsid w:val="003C5786"/>
    <w:rsid w:val="003C58E8"/>
    <w:rsid w:val="003C6A6D"/>
    <w:rsid w:val="003D126A"/>
    <w:rsid w:val="003D142A"/>
    <w:rsid w:val="003D166E"/>
    <w:rsid w:val="003D30C1"/>
    <w:rsid w:val="003D4296"/>
    <w:rsid w:val="003D43BA"/>
    <w:rsid w:val="003E1346"/>
    <w:rsid w:val="003E69E4"/>
    <w:rsid w:val="003E7ED2"/>
    <w:rsid w:val="003F1258"/>
    <w:rsid w:val="003F312E"/>
    <w:rsid w:val="003F3857"/>
    <w:rsid w:val="003F6A9A"/>
    <w:rsid w:val="003F712D"/>
    <w:rsid w:val="00400B34"/>
    <w:rsid w:val="00401D21"/>
    <w:rsid w:val="00402CA5"/>
    <w:rsid w:val="00404DA4"/>
    <w:rsid w:val="00405255"/>
    <w:rsid w:val="004059BA"/>
    <w:rsid w:val="004106CB"/>
    <w:rsid w:val="00410CB4"/>
    <w:rsid w:val="004117EB"/>
    <w:rsid w:val="00411F01"/>
    <w:rsid w:val="00413134"/>
    <w:rsid w:val="004132FF"/>
    <w:rsid w:val="00413E5D"/>
    <w:rsid w:val="004146A4"/>
    <w:rsid w:val="00414A97"/>
    <w:rsid w:val="004161F9"/>
    <w:rsid w:val="00417C17"/>
    <w:rsid w:val="00426556"/>
    <w:rsid w:val="00431F57"/>
    <w:rsid w:val="0044463C"/>
    <w:rsid w:val="0044707D"/>
    <w:rsid w:val="004476F7"/>
    <w:rsid w:val="00451405"/>
    <w:rsid w:val="00453FE4"/>
    <w:rsid w:val="0045600D"/>
    <w:rsid w:val="0046217F"/>
    <w:rsid w:val="00462E1B"/>
    <w:rsid w:val="00463F0B"/>
    <w:rsid w:val="00464AA5"/>
    <w:rsid w:val="00465386"/>
    <w:rsid w:val="00470737"/>
    <w:rsid w:val="00470E45"/>
    <w:rsid w:val="00474111"/>
    <w:rsid w:val="00477F54"/>
    <w:rsid w:val="004800DB"/>
    <w:rsid w:val="00480227"/>
    <w:rsid w:val="0048104F"/>
    <w:rsid w:val="00483852"/>
    <w:rsid w:val="00483C13"/>
    <w:rsid w:val="0048400E"/>
    <w:rsid w:val="00490BBF"/>
    <w:rsid w:val="00491AC7"/>
    <w:rsid w:val="00496F35"/>
    <w:rsid w:val="004A1EE6"/>
    <w:rsid w:val="004A359B"/>
    <w:rsid w:val="004A3E3B"/>
    <w:rsid w:val="004A5A6E"/>
    <w:rsid w:val="004B32F3"/>
    <w:rsid w:val="004B6897"/>
    <w:rsid w:val="004C0B75"/>
    <w:rsid w:val="004C5137"/>
    <w:rsid w:val="004D1F69"/>
    <w:rsid w:val="004D5251"/>
    <w:rsid w:val="004D592E"/>
    <w:rsid w:val="004E3C6F"/>
    <w:rsid w:val="004E4E92"/>
    <w:rsid w:val="004E5659"/>
    <w:rsid w:val="004E7227"/>
    <w:rsid w:val="004F0733"/>
    <w:rsid w:val="004F1517"/>
    <w:rsid w:val="004F30AE"/>
    <w:rsid w:val="004F342E"/>
    <w:rsid w:val="004F3769"/>
    <w:rsid w:val="004F4749"/>
    <w:rsid w:val="005003D5"/>
    <w:rsid w:val="00501803"/>
    <w:rsid w:val="005029B3"/>
    <w:rsid w:val="0050356A"/>
    <w:rsid w:val="00507033"/>
    <w:rsid w:val="00510748"/>
    <w:rsid w:val="00511A9D"/>
    <w:rsid w:val="005158C9"/>
    <w:rsid w:val="00517180"/>
    <w:rsid w:val="00517AC9"/>
    <w:rsid w:val="00524504"/>
    <w:rsid w:val="00524D63"/>
    <w:rsid w:val="005256B6"/>
    <w:rsid w:val="0052701E"/>
    <w:rsid w:val="00530403"/>
    <w:rsid w:val="00530EE4"/>
    <w:rsid w:val="00530F2F"/>
    <w:rsid w:val="00533D8A"/>
    <w:rsid w:val="0053498C"/>
    <w:rsid w:val="0053590F"/>
    <w:rsid w:val="005434E0"/>
    <w:rsid w:val="0054359E"/>
    <w:rsid w:val="0054448C"/>
    <w:rsid w:val="005450B3"/>
    <w:rsid w:val="005479DD"/>
    <w:rsid w:val="00552B75"/>
    <w:rsid w:val="00554990"/>
    <w:rsid w:val="005555BC"/>
    <w:rsid w:val="00557EB9"/>
    <w:rsid w:val="005624DC"/>
    <w:rsid w:val="005630F4"/>
    <w:rsid w:val="00565B20"/>
    <w:rsid w:val="005664C3"/>
    <w:rsid w:val="00575086"/>
    <w:rsid w:val="00575135"/>
    <w:rsid w:val="00577CCA"/>
    <w:rsid w:val="00580070"/>
    <w:rsid w:val="00581288"/>
    <w:rsid w:val="0058147F"/>
    <w:rsid w:val="0058164E"/>
    <w:rsid w:val="0058462A"/>
    <w:rsid w:val="00584733"/>
    <w:rsid w:val="00584A3B"/>
    <w:rsid w:val="00585962"/>
    <w:rsid w:val="00587A89"/>
    <w:rsid w:val="00590700"/>
    <w:rsid w:val="0059197C"/>
    <w:rsid w:val="0059261B"/>
    <w:rsid w:val="00594A8F"/>
    <w:rsid w:val="005A103A"/>
    <w:rsid w:val="005A4A56"/>
    <w:rsid w:val="005A7616"/>
    <w:rsid w:val="005A795B"/>
    <w:rsid w:val="005B132F"/>
    <w:rsid w:val="005B3582"/>
    <w:rsid w:val="005B629E"/>
    <w:rsid w:val="005C0F72"/>
    <w:rsid w:val="005C2686"/>
    <w:rsid w:val="005E0BD4"/>
    <w:rsid w:val="005E47ED"/>
    <w:rsid w:val="005E4F62"/>
    <w:rsid w:val="005F48D8"/>
    <w:rsid w:val="005F583B"/>
    <w:rsid w:val="005F6BD2"/>
    <w:rsid w:val="005F6D61"/>
    <w:rsid w:val="005F6D99"/>
    <w:rsid w:val="00601D64"/>
    <w:rsid w:val="006024FC"/>
    <w:rsid w:val="00603B9D"/>
    <w:rsid w:val="006071A6"/>
    <w:rsid w:val="006136FE"/>
    <w:rsid w:val="00613AF7"/>
    <w:rsid w:val="00613F77"/>
    <w:rsid w:val="00614ED5"/>
    <w:rsid w:val="00615AFB"/>
    <w:rsid w:val="00616214"/>
    <w:rsid w:val="006235E7"/>
    <w:rsid w:val="00626D1E"/>
    <w:rsid w:val="006351EF"/>
    <w:rsid w:val="00641D7B"/>
    <w:rsid w:val="00644A34"/>
    <w:rsid w:val="00646E64"/>
    <w:rsid w:val="00651D96"/>
    <w:rsid w:val="006537D4"/>
    <w:rsid w:val="006546FC"/>
    <w:rsid w:val="00656E8C"/>
    <w:rsid w:val="006671CD"/>
    <w:rsid w:val="0067212F"/>
    <w:rsid w:val="006728C9"/>
    <w:rsid w:val="0067693F"/>
    <w:rsid w:val="006813A1"/>
    <w:rsid w:val="00686545"/>
    <w:rsid w:val="00686C89"/>
    <w:rsid w:val="00687A21"/>
    <w:rsid w:val="00690249"/>
    <w:rsid w:val="006935AF"/>
    <w:rsid w:val="006A1A78"/>
    <w:rsid w:val="006A2F10"/>
    <w:rsid w:val="006B4E00"/>
    <w:rsid w:val="006B532B"/>
    <w:rsid w:val="006B54B0"/>
    <w:rsid w:val="006B7732"/>
    <w:rsid w:val="006C1D64"/>
    <w:rsid w:val="006C3564"/>
    <w:rsid w:val="006C6389"/>
    <w:rsid w:val="006D318A"/>
    <w:rsid w:val="006D537B"/>
    <w:rsid w:val="006D7259"/>
    <w:rsid w:val="006E0BA3"/>
    <w:rsid w:val="006E1B5D"/>
    <w:rsid w:val="006E3252"/>
    <w:rsid w:val="006E3660"/>
    <w:rsid w:val="006E366E"/>
    <w:rsid w:val="006E3772"/>
    <w:rsid w:val="006E5E63"/>
    <w:rsid w:val="006E6492"/>
    <w:rsid w:val="006E6637"/>
    <w:rsid w:val="00704DA1"/>
    <w:rsid w:val="00705BE5"/>
    <w:rsid w:val="00707A13"/>
    <w:rsid w:val="007108F9"/>
    <w:rsid w:val="00712D2A"/>
    <w:rsid w:val="00716A60"/>
    <w:rsid w:val="00722F11"/>
    <w:rsid w:val="00726250"/>
    <w:rsid w:val="0073285F"/>
    <w:rsid w:val="00734D2A"/>
    <w:rsid w:val="00736FEF"/>
    <w:rsid w:val="007371D8"/>
    <w:rsid w:val="00740EF4"/>
    <w:rsid w:val="00741F16"/>
    <w:rsid w:val="00743CEC"/>
    <w:rsid w:val="00745C0A"/>
    <w:rsid w:val="00747EDF"/>
    <w:rsid w:val="00750E8C"/>
    <w:rsid w:val="00752E72"/>
    <w:rsid w:val="0075368D"/>
    <w:rsid w:val="00754C2D"/>
    <w:rsid w:val="0075651E"/>
    <w:rsid w:val="00756F9C"/>
    <w:rsid w:val="007627DD"/>
    <w:rsid w:val="007647B3"/>
    <w:rsid w:val="00770F65"/>
    <w:rsid w:val="00771720"/>
    <w:rsid w:val="00773CE9"/>
    <w:rsid w:val="0077640A"/>
    <w:rsid w:val="007768D2"/>
    <w:rsid w:val="00777A7D"/>
    <w:rsid w:val="0078116B"/>
    <w:rsid w:val="007902F3"/>
    <w:rsid w:val="007926DA"/>
    <w:rsid w:val="007941F9"/>
    <w:rsid w:val="007971E1"/>
    <w:rsid w:val="007A0277"/>
    <w:rsid w:val="007A1371"/>
    <w:rsid w:val="007B201B"/>
    <w:rsid w:val="007B2F18"/>
    <w:rsid w:val="007B3151"/>
    <w:rsid w:val="007C039D"/>
    <w:rsid w:val="007C1274"/>
    <w:rsid w:val="007C13DC"/>
    <w:rsid w:val="007C1623"/>
    <w:rsid w:val="007C71D2"/>
    <w:rsid w:val="007D118D"/>
    <w:rsid w:val="007D3E8E"/>
    <w:rsid w:val="007D40EA"/>
    <w:rsid w:val="007D4C93"/>
    <w:rsid w:val="007D6DEA"/>
    <w:rsid w:val="007E3CDF"/>
    <w:rsid w:val="007E3F94"/>
    <w:rsid w:val="007E4091"/>
    <w:rsid w:val="007E7BBF"/>
    <w:rsid w:val="007F1039"/>
    <w:rsid w:val="007F2C2E"/>
    <w:rsid w:val="007F6F33"/>
    <w:rsid w:val="00801E39"/>
    <w:rsid w:val="00802CBE"/>
    <w:rsid w:val="00805541"/>
    <w:rsid w:val="008142C1"/>
    <w:rsid w:val="00815363"/>
    <w:rsid w:val="008159A5"/>
    <w:rsid w:val="008179FC"/>
    <w:rsid w:val="00825D46"/>
    <w:rsid w:val="00826E57"/>
    <w:rsid w:val="00831292"/>
    <w:rsid w:val="00831647"/>
    <w:rsid w:val="00831C65"/>
    <w:rsid w:val="00831FFF"/>
    <w:rsid w:val="00834DBF"/>
    <w:rsid w:val="00837A08"/>
    <w:rsid w:val="008439E1"/>
    <w:rsid w:val="00843CDC"/>
    <w:rsid w:val="00843E5D"/>
    <w:rsid w:val="00844C6E"/>
    <w:rsid w:val="008450BC"/>
    <w:rsid w:val="00851922"/>
    <w:rsid w:val="00853A74"/>
    <w:rsid w:val="008541FD"/>
    <w:rsid w:val="008547B3"/>
    <w:rsid w:val="00855674"/>
    <w:rsid w:val="00857D23"/>
    <w:rsid w:val="0086364C"/>
    <w:rsid w:val="0086453A"/>
    <w:rsid w:val="00865946"/>
    <w:rsid w:val="00867BF1"/>
    <w:rsid w:val="008708B2"/>
    <w:rsid w:val="00871219"/>
    <w:rsid w:val="00872255"/>
    <w:rsid w:val="00874817"/>
    <w:rsid w:val="008752D4"/>
    <w:rsid w:val="00881A9F"/>
    <w:rsid w:val="008824E0"/>
    <w:rsid w:val="00883CC8"/>
    <w:rsid w:val="0089015C"/>
    <w:rsid w:val="00890182"/>
    <w:rsid w:val="00891796"/>
    <w:rsid w:val="00893B81"/>
    <w:rsid w:val="008960A3"/>
    <w:rsid w:val="0089770B"/>
    <w:rsid w:val="008A089E"/>
    <w:rsid w:val="008A0B01"/>
    <w:rsid w:val="008A0C07"/>
    <w:rsid w:val="008A28C5"/>
    <w:rsid w:val="008A7F15"/>
    <w:rsid w:val="008B396D"/>
    <w:rsid w:val="008B4501"/>
    <w:rsid w:val="008C1271"/>
    <w:rsid w:val="008C25B9"/>
    <w:rsid w:val="008C47F3"/>
    <w:rsid w:val="008D0EF9"/>
    <w:rsid w:val="008D1682"/>
    <w:rsid w:val="008D6626"/>
    <w:rsid w:val="008E084C"/>
    <w:rsid w:val="008E4E60"/>
    <w:rsid w:val="008F0432"/>
    <w:rsid w:val="008F0F1A"/>
    <w:rsid w:val="008F3D8F"/>
    <w:rsid w:val="00900442"/>
    <w:rsid w:val="00907AE4"/>
    <w:rsid w:val="009102A3"/>
    <w:rsid w:val="00913C67"/>
    <w:rsid w:val="00917649"/>
    <w:rsid w:val="009202B3"/>
    <w:rsid w:val="009216D7"/>
    <w:rsid w:val="00922B42"/>
    <w:rsid w:val="00925044"/>
    <w:rsid w:val="00927516"/>
    <w:rsid w:val="00931279"/>
    <w:rsid w:val="00931B32"/>
    <w:rsid w:val="00936095"/>
    <w:rsid w:val="009412F3"/>
    <w:rsid w:val="009417A9"/>
    <w:rsid w:val="009472AF"/>
    <w:rsid w:val="009472BB"/>
    <w:rsid w:val="009500E4"/>
    <w:rsid w:val="00951783"/>
    <w:rsid w:val="00952243"/>
    <w:rsid w:val="009544C5"/>
    <w:rsid w:val="00955CE3"/>
    <w:rsid w:val="009576FD"/>
    <w:rsid w:val="00957B06"/>
    <w:rsid w:val="00960D99"/>
    <w:rsid w:val="009611FC"/>
    <w:rsid w:val="009630A6"/>
    <w:rsid w:val="00963878"/>
    <w:rsid w:val="00963C32"/>
    <w:rsid w:val="0096706B"/>
    <w:rsid w:val="009700C8"/>
    <w:rsid w:val="00970801"/>
    <w:rsid w:val="00970A39"/>
    <w:rsid w:val="00971850"/>
    <w:rsid w:val="00976113"/>
    <w:rsid w:val="00977175"/>
    <w:rsid w:val="009823AC"/>
    <w:rsid w:val="00984ACB"/>
    <w:rsid w:val="00992701"/>
    <w:rsid w:val="0099493F"/>
    <w:rsid w:val="009A59B5"/>
    <w:rsid w:val="009A5E80"/>
    <w:rsid w:val="009B73D6"/>
    <w:rsid w:val="009B77C8"/>
    <w:rsid w:val="009C150A"/>
    <w:rsid w:val="009C241C"/>
    <w:rsid w:val="009C60CA"/>
    <w:rsid w:val="009D12E0"/>
    <w:rsid w:val="009D2BAF"/>
    <w:rsid w:val="009D488F"/>
    <w:rsid w:val="009D4895"/>
    <w:rsid w:val="009D4F3B"/>
    <w:rsid w:val="009D574F"/>
    <w:rsid w:val="009D575B"/>
    <w:rsid w:val="009D6A17"/>
    <w:rsid w:val="009D75AF"/>
    <w:rsid w:val="009E077A"/>
    <w:rsid w:val="009E155A"/>
    <w:rsid w:val="009E223C"/>
    <w:rsid w:val="009E2E19"/>
    <w:rsid w:val="009E3807"/>
    <w:rsid w:val="009E4E11"/>
    <w:rsid w:val="009E5759"/>
    <w:rsid w:val="009E6338"/>
    <w:rsid w:val="009F18B7"/>
    <w:rsid w:val="009F2CE3"/>
    <w:rsid w:val="009F56FC"/>
    <w:rsid w:val="009F5DDF"/>
    <w:rsid w:val="00A01CA9"/>
    <w:rsid w:val="00A0217F"/>
    <w:rsid w:val="00A02D4D"/>
    <w:rsid w:val="00A02E5C"/>
    <w:rsid w:val="00A06189"/>
    <w:rsid w:val="00A068F8"/>
    <w:rsid w:val="00A0725A"/>
    <w:rsid w:val="00A130CA"/>
    <w:rsid w:val="00A15F6F"/>
    <w:rsid w:val="00A217F1"/>
    <w:rsid w:val="00A246C0"/>
    <w:rsid w:val="00A26CB0"/>
    <w:rsid w:val="00A34895"/>
    <w:rsid w:val="00A351C8"/>
    <w:rsid w:val="00A35E7C"/>
    <w:rsid w:val="00A37A8A"/>
    <w:rsid w:val="00A4223A"/>
    <w:rsid w:val="00A42894"/>
    <w:rsid w:val="00A45F97"/>
    <w:rsid w:val="00A478B8"/>
    <w:rsid w:val="00A51393"/>
    <w:rsid w:val="00A520F3"/>
    <w:rsid w:val="00A62272"/>
    <w:rsid w:val="00A629E9"/>
    <w:rsid w:val="00A6693B"/>
    <w:rsid w:val="00A71405"/>
    <w:rsid w:val="00A76920"/>
    <w:rsid w:val="00A80291"/>
    <w:rsid w:val="00A854A7"/>
    <w:rsid w:val="00A879D6"/>
    <w:rsid w:val="00A907DE"/>
    <w:rsid w:val="00A92980"/>
    <w:rsid w:val="00A935DB"/>
    <w:rsid w:val="00A9770F"/>
    <w:rsid w:val="00AA5AAB"/>
    <w:rsid w:val="00AA7AD0"/>
    <w:rsid w:val="00AB138E"/>
    <w:rsid w:val="00AB2845"/>
    <w:rsid w:val="00AB4435"/>
    <w:rsid w:val="00AB5243"/>
    <w:rsid w:val="00AB60B1"/>
    <w:rsid w:val="00AC2157"/>
    <w:rsid w:val="00AC2B3D"/>
    <w:rsid w:val="00AC3EAC"/>
    <w:rsid w:val="00AC458E"/>
    <w:rsid w:val="00AC67C2"/>
    <w:rsid w:val="00AD0BFF"/>
    <w:rsid w:val="00AD2F2C"/>
    <w:rsid w:val="00AD57E0"/>
    <w:rsid w:val="00AE0CB0"/>
    <w:rsid w:val="00AE1164"/>
    <w:rsid w:val="00AE5168"/>
    <w:rsid w:val="00AE5BC6"/>
    <w:rsid w:val="00AE6280"/>
    <w:rsid w:val="00AF015B"/>
    <w:rsid w:val="00AF102C"/>
    <w:rsid w:val="00AF1262"/>
    <w:rsid w:val="00AF3413"/>
    <w:rsid w:val="00AF4A32"/>
    <w:rsid w:val="00AF608A"/>
    <w:rsid w:val="00B0130C"/>
    <w:rsid w:val="00B03638"/>
    <w:rsid w:val="00B04044"/>
    <w:rsid w:val="00B04BFC"/>
    <w:rsid w:val="00B10999"/>
    <w:rsid w:val="00B10B61"/>
    <w:rsid w:val="00B117C8"/>
    <w:rsid w:val="00B12885"/>
    <w:rsid w:val="00B13E69"/>
    <w:rsid w:val="00B1454F"/>
    <w:rsid w:val="00B14EE4"/>
    <w:rsid w:val="00B16393"/>
    <w:rsid w:val="00B206A6"/>
    <w:rsid w:val="00B22A2B"/>
    <w:rsid w:val="00B23FE4"/>
    <w:rsid w:val="00B24B8C"/>
    <w:rsid w:val="00B24F4A"/>
    <w:rsid w:val="00B278A6"/>
    <w:rsid w:val="00B35FD6"/>
    <w:rsid w:val="00B36E10"/>
    <w:rsid w:val="00B406D2"/>
    <w:rsid w:val="00B44ABF"/>
    <w:rsid w:val="00B5041A"/>
    <w:rsid w:val="00B524C5"/>
    <w:rsid w:val="00B56A53"/>
    <w:rsid w:val="00B56B4C"/>
    <w:rsid w:val="00B576E9"/>
    <w:rsid w:val="00B5799A"/>
    <w:rsid w:val="00B6027C"/>
    <w:rsid w:val="00B64A2E"/>
    <w:rsid w:val="00B6771B"/>
    <w:rsid w:val="00B73454"/>
    <w:rsid w:val="00B81A7C"/>
    <w:rsid w:val="00B82AA3"/>
    <w:rsid w:val="00B83CA8"/>
    <w:rsid w:val="00B83D38"/>
    <w:rsid w:val="00B83F50"/>
    <w:rsid w:val="00B84433"/>
    <w:rsid w:val="00B845E9"/>
    <w:rsid w:val="00B86E6E"/>
    <w:rsid w:val="00B900E7"/>
    <w:rsid w:val="00B904D2"/>
    <w:rsid w:val="00B937BC"/>
    <w:rsid w:val="00B9478F"/>
    <w:rsid w:val="00B9558A"/>
    <w:rsid w:val="00B95C51"/>
    <w:rsid w:val="00B97B98"/>
    <w:rsid w:val="00BA0BCF"/>
    <w:rsid w:val="00BA58EF"/>
    <w:rsid w:val="00BB0FBA"/>
    <w:rsid w:val="00BB2AB3"/>
    <w:rsid w:val="00BB3180"/>
    <w:rsid w:val="00BB39BA"/>
    <w:rsid w:val="00BB44C5"/>
    <w:rsid w:val="00BC289A"/>
    <w:rsid w:val="00BC325E"/>
    <w:rsid w:val="00BD155D"/>
    <w:rsid w:val="00BD1C7E"/>
    <w:rsid w:val="00BD2D9D"/>
    <w:rsid w:val="00BE12D9"/>
    <w:rsid w:val="00BE13B3"/>
    <w:rsid w:val="00BE4162"/>
    <w:rsid w:val="00BE64AF"/>
    <w:rsid w:val="00C0084D"/>
    <w:rsid w:val="00C00BE1"/>
    <w:rsid w:val="00C02BAC"/>
    <w:rsid w:val="00C15E18"/>
    <w:rsid w:val="00C22870"/>
    <w:rsid w:val="00C22919"/>
    <w:rsid w:val="00C22AFC"/>
    <w:rsid w:val="00C24CCD"/>
    <w:rsid w:val="00C25FAC"/>
    <w:rsid w:val="00C26F62"/>
    <w:rsid w:val="00C27AFE"/>
    <w:rsid w:val="00C34408"/>
    <w:rsid w:val="00C37E19"/>
    <w:rsid w:val="00C4083F"/>
    <w:rsid w:val="00C42218"/>
    <w:rsid w:val="00C42EF9"/>
    <w:rsid w:val="00C445D1"/>
    <w:rsid w:val="00C44C9C"/>
    <w:rsid w:val="00C53CD8"/>
    <w:rsid w:val="00C54343"/>
    <w:rsid w:val="00C556E2"/>
    <w:rsid w:val="00C57983"/>
    <w:rsid w:val="00C6405D"/>
    <w:rsid w:val="00C64C6D"/>
    <w:rsid w:val="00C67A49"/>
    <w:rsid w:val="00C73A39"/>
    <w:rsid w:val="00C7512B"/>
    <w:rsid w:val="00C81EA8"/>
    <w:rsid w:val="00C83632"/>
    <w:rsid w:val="00C908E4"/>
    <w:rsid w:val="00C96D49"/>
    <w:rsid w:val="00CB1B7C"/>
    <w:rsid w:val="00CB25B3"/>
    <w:rsid w:val="00CB415B"/>
    <w:rsid w:val="00CB4993"/>
    <w:rsid w:val="00CB4C80"/>
    <w:rsid w:val="00CC33B4"/>
    <w:rsid w:val="00CC3A55"/>
    <w:rsid w:val="00CC45B5"/>
    <w:rsid w:val="00CC4681"/>
    <w:rsid w:val="00CC51D7"/>
    <w:rsid w:val="00CD0EEB"/>
    <w:rsid w:val="00CD336F"/>
    <w:rsid w:val="00CD3643"/>
    <w:rsid w:val="00CD543B"/>
    <w:rsid w:val="00CD75C4"/>
    <w:rsid w:val="00CD7C23"/>
    <w:rsid w:val="00CD7FF3"/>
    <w:rsid w:val="00CE04C5"/>
    <w:rsid w:val="00CE2D0F"/>
    <w:rsid w:val="00CF0B48"/>
    <w:rsid w:val="00CF154B"/>
    <w:rsid w:val="00CF1C15"/>
    <w:rsid w:val="00CF1EF5"/>
    <w:rsid w:val="00CF60D3"/>
    <w:rsid w:val="00D001FD"/>
    <w:rsid w:val="00D04D21"/>
    <w:rsid w:val="00D04F26"/>
    <w:rsid w:val="00D062D3"/>
    <w:rsid w:val="00D10AFE"/>
    <w:rsid w:val="00D12ABF"/>
    <w:rsid w:val="00D12E5F"/>
    <w:rsid w:val="00D139A2"/>
    <w:rsid w:val="00D1484B"/>
    <w:rsid w:val="00D20018"/>
    <w:rsid w:val="00D21303"/>
    <w:rsid w:val="00D21DEE"/>
    <w:rsid w:val="00D260AB"/>
    <w:rsid w:val="00D30C1D"/>
    <w:rsid w:val="00D36E7F"/>
    <w:rsid w:val="00D370C5"/>
    <w:rsid w:val="00D40183"/>
    <w:rsid w:val="00D4115D"/>
    <w:rsid w:val="00D411E2"/>
    <w:rsid w:val="00D45CF2"/>
    <w:rsid w:val="00D50683"/>
    <w:rsid w:val="00D533AC"/>
    <w:rsid w:val="00D55F91"/>
    <w:rsid w:val="00D60743"/>
    <w:rsid w:val="00D60BAC"/>
    <w:rsid w:val="00D66291"/>
    <w:rsid w:val="00D72449"/>
    <w:rsid w:val="00D754D6"/>
    <w:rsid w:val="00D8440F"/>
    <w:rsid w:val="00D8506A"/>
    <w:rsid w:val="00D85088"/>
    <w:rsid w:val="00D851C1"/>
    <w:rsid w:val="00D853F2"/>
    <w:rsid w:val="00D86301"/>
    <w:rsid w:val="00D87DC7"/>
    <w:rsid w:val="00D91913"/>
    <w:rsid w:val="00D936ED"/>
    <w:rsid w:val="00D93872"/>
    <w:rsid w:val="00D944EA"/>
    <w:rsid w:val="00D95FFD"/>
    <w:rsid w:val="00DA1319"/>
    <w:rsid w:val="00DA5CA4"/>
    <w:rsid w:val="00DB239B"/>
    <w:rsid w:val="00DB3568"/>
    <w:rsid w:val="00DB3AD5"/>
    <w:rsid w:val="00DC1595"/>
    <w:rsid w:val="00DC273F"/>
    <w:rsid w:val="00DC401F"/>
    <w:rsid w:val="00DC430E"/>
    <w:rsid w:val="00DD0214"/>
    <w:rsid w:val="00DD2702"/>
    <w:rsid w:val="00DD3C0B"/>
    <w:rsid w:val="00DD62EF"/>
    <w:rsid w:val="00DE07F3"/>
    <w:rsid w:val="00DE3087"/>
    <w:rsid w:val="00DE3788"/>
    <w:rsid w:val="00DE7E07"/>
    <w:rsid w:val="00DF056F"/>
    <w:rsid w:val="00DF0794"/>
    <w:rsid w:val="00DF186F"/>
    <w:rsid w:val="00DF586A"/>
    <w:rsid w:val="00DF5AFE"/>
    <w:rsid w:val="00DF7563"/>
    <w:rsid w:val="00E02027"/>
    <w:rsid w:val="00E03279"/>
    <w:rsid w:val="00E064B7"/>
    <w:rsid w:val="00E1131B"/>
    <w:rsid w:val="00E12A8F"/>
    <w:rsid w:val="00E137C8"/>
    <w:rsid w:val="00E13B31"/>
    <w:rsid w:val="00E14172"/>
    <w:rsid w:val="00E15368"/>
    <w:rsid w:val="00E16B53"/>
    <w:rsid w:val="00E1776D"/>
    <w:rsid w:val="00E21F16"/>
    <w:rsid w:val="00E26D43"/>
    <w:rsid w:val="00E27230"/>
    <w:rsid w:val="00E3006C"/>
    <w:rsid w:val="00E3050B"/>
    <w:rsid w:val="00E31D8D"/>
    <w:rsid w:val="00E37202"/>
    <w:rsid w:val="00E41C69"/>
    <w:rsid w:val="00E4463F"/>
    <w:rsid w:val="00E45A69"/>
    <w:rsid w:val="00E47163"/>
    <w:rsid w:val="00E52253"/>
    <w:rsid w:val="00E5344C"/>
    <w:rsid w:val="00E543A9"/>
    <w:rsid w:val="00E5444F"/>
    <w:rsid w:val="00E54F0A"/>
    <w:rsid w:val="00E57AED"/>
    <w:rsid w:val="00E60D5F"/>
    <w:rsid w:val="00E661B1"/>
    <w:rsid w:val="00E6640A"/>
    <w:rsid w:val="00E67A8E"/>
    <w:rsid w:val="00E67BBC"/>
    <w:rsid w:val="00E67C26"/>
    <w:rsid w:val="00E704BC"/>
    <w:rsid w:val="00E7398A"/>
    <w:rsid w:val="00E7754E"/>
    <w:rsid w:val="00E77AC3"/>
    <w:rsid w:val="00E77EA9"/>
    <w:rsid w:val="00E85B9B"/>
    <w:rsid w:val="00E85DA8"/>
    <w:rsid w:val="00E92160"/>
    <w:rsid w:val="00E94915"/>
    <w:rsid w:val="00E94B01"/>
    <w:rsid w:val="00E97751"/>
    <w:rsid w:val="00EA7356"/>
    <w:rsid w:val="00EA7A91"/>
    <w:rsid w:val="00EB19C8"/>
    <w:rsid w:val="00EB26D1"/>
    <w:rsid w:val="00EB5069"/>
    <w:rsid w:val="00EB5333"/>
    <w:rsid w:val="00EC3533"/>
    <w:rsid w:val="00EC43B6"/>
    <w:rsid w:val="00EC4EA4"/>
    <w:rsid w:val="00ED0C9E"/>
    <w:rsid w:val="00ED2566"/>
    <w:rsid w:val="00ED6629"/>
    <w:rsid w:val="00EE21C3"/>
    <w:rsid w:val="00EE2BD2"/>
    <w:rsid w:val="00EE2DF1"/>
    <w:rsid w:val="00EE7F92"/>
    <w:rsid w:val="00EF0084"/>
    <w:rsid w:val="00EF0B3B"/>
    <w:rsid w:val="00EF0D1F"/>
    <w:rsid w:val="00EF662D"/>
    <w:rsid w:val="00F0131B"/>
    <w:rsid w:val="00F013BF"/>
    <w:rsid w:val="00F02208"/>
    <w:rsid w:val="00F05F88"/>
    <w:rsid w:val="00F117DC"/>
    <w:rsid w:val="00F16001"/>
    <w:rsid w:val="00F168B6"/>
    <w:rsid w:val="00F16B2D"/>
    <w:rsid w:val="00F20E9F"/>
    <w:rsid w:val="00F22AE1"/>
    <w:rsid w:val="00F25007"/>
    <w:rsid w:val="00F305B6"/>
    <w:rsid w:val="00F347A9"/>
    <w:rsid w:val="00F36FDE"/>
    <w:rsid w:val="00F4088B"/>
    <w:rsid w:val="00F4397E"/>
    <w:rsid w:val="00F44433"/>
    <w:rsid w:val="00F50009"/>
    <w:rsid w:val="00F51114"/>
    <w:rsid w:val="00F619D8"/>
    <w:rsid w:val="00F6275F"/>
    <w:rsid w:val="00F62B33"/>
    <w:rsid w:val="00F63317"/>
    <w:rsid w:val="00F64322"/>
    <w:rsid w:val="00F66A02"/>
    <w:rsid w:val="00F67F39"/>
    <w:rsid w:val="00F701A4"/>
    <w:rsid w:val="00F7037A"/>
    <w:rsid w:val="00F75020"/>
    <w:rsid w:val="00F75EC7"/>
    <w:rsid w:val="00F8146D"/>
    <w:rsid w:val="00F902F1"/>
    <w:rsid w:val="00F927D5"/>
    <w:rsid w:val="00F95800"/>
    <w:rsid w:val="00F9584D"/>
    <w:rsid w:val="00FA010F"/>
    <w:rsid w:val="00FA13E0"/>
    <w:rsid w:val="00FA3273"/>
    <w:rsid w:val="00FA4533"/>
    <w:rsid w:val="00FA58B3"/>
    <w:rsid w:val="00FA68EF"/>
    <w:rsid w:val="00FA7AB3"/>
    <w:rsid w:val="00FB1103"/>
    <w:rsid w:val="00FB49D9"/>
    <w:rsid w:val="00FB6263"/>
    <w:rsid w:val="00FC1E5C"/>
    <w:rsid w:val="00FC21FB"/>
    <w:rsid w:val="00FC30CF"/>
    <w:rsid w:val="00FC51DF"/>
    <w:rsid w:val="00FD14B3"/>
    <w:rsid w:val="00FD1938"/>
    <w:rsid w:val="00FE1BB8"/>
    <w:rsid w:val="00FE2053"/>
    <w:rsid w:val="00FE39C6"/>
    <w:rsid w:val="00FE5AE8"/>
    <w:rsid w:val="00FE5BE0"/>
    <w:rsid w:val="00FE7219"/>
    <w:rsid w:val="00FE79DE"/>
    <w:rsid w:val="00FF0DD6"/>
    <w:rsid w:val="00FF15D3"/>
    <w:rsid w:val="00FF3EC2"/>
    <w:rsid w:val="00FF559F"/>
    <w:rsid w:val="00FF5B73"/>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14050195"/>
  <w15:docId w15:val="{6AB54B55-0B42-4DED-9C03-32C15825A4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EB26D1"/>
    <w:pPr>
      <w:spacing w:after="120"/>
    </w:pPr>
    <w:rPr>
      <w:rFonts w:eastAsiaTheme="minorEastAsia"/>
      <w:sz w:val="20"/>
      <w:szCs w:val="20"/>
      <w:lang w:bidi="en-US"/>
    </w:rPr>
  </w:style>
  <w:style w:type="paragraph" w:styleId="Heading1">
    <w:name w:val="heading 1"/>
    <w:basedOn w:val="Normal"/>
    <w:next w:val="Normal"/>
    <w:link w:val="Heading1Char"/>
    <w:uiPriority w:val="9"/>
    <w:qFormat/>
    <w:rsid w:val="00EB26D1"/>
    <w:pPr>
      <w:numPr>
        <w:numId w:val="1"/>
      </w:numPr>
      <w:pBdr>
        <w:top w:val="single" w:sz="24" w:space="0" w:color="4F81BD" w:themeColor="accent1"/>
        <w:left w:val="single" w:sz="24" w:space="0" w:color="4F81BD" w:themeColor="accent1"/>
        <w:bottom w:val="single" w:sz="24" w:space="0" w:color="4F81BD" w:themeColor="accent1"/>
        <w:right w:val="single" w:sz="24" w:space="0" w:color="4F81BD" w:themeColor="accent1"/>
      </w:pBdr>
      <w:shd w:val="clear" w:color="auto" w:fill="4F81BD" w:themeFill="accent1"/>
      <w:ind w:hanging="720"/>
      <w:outlineLvl w:val="0"/>
    </w:pPr>
    <w:rPr>
      <w:b/>
      <w:bCs/>
      <w:smallCaps/>
      <w:color w:val="FFFFFF" w:themeColor="background1"/>
      <w:spacing w:val="15"/>
      <w:sz w:val="22"/>
      <w:szCs w:val="22"/>
      <w:lang w:val="en-GB"/>
    </w:rPr>
  </w:style>
  <w:style w:type="paragraph" w:styleId="Heading2">
    <w:name w:val="heading 2"/>
    <w:basedOn w:val="Normal"/>
    <w:next w:val="Normal"/>
    <w:link w:val="Heading2Char"/>
    <w:uiPriority w:val="9"/>
    <w:unhideWhenUsed/>
    <w:qFormat/>
    <w:rsid w:val="00EB26D1"/>
    <w:pPr>
      <w:numPr>
        <w:ilvl w:val="1"/>
        <w:numId w:val="1"/>
      </w:numPr>
      <w:pBdr>
        <w:top w:val="single" w:sz="24" w:space="0" w:color="DBE5F1" w:themeColor="accent1" w:themeTint="33"/>
        <w:left w:val="single" w:sz="24" w:space="0" w:color="DBE5F1" w:themeColor="accent1" w:themeTint="33"/>
        <w:bottom w:val="single" w:sz="24" w:space="0" w:color="DBE5F1" w:themeColor="accent1" w:themeTint="33"/>
        <w:right w:val="single" w:sz="24" w:space="0" w:color="DBE5F1" w:themeColor="accent1" w:themeTint="33"/>
      </w:pBdr>
      <w:shd w:val="clear" w:color="auto" w:fill="DBE5F1" w:themeFill="accent1" w:themeFillTint="33"/>
      <w:ind w:left="709" w:hanging="709"/>
      <w:outlineLvl w:val="1"/>
    </w:pPr>
    <w:rPr>
      <w:smallCaps/>
      <w:spacing w:val="15"/>
      <w:sz w:val="22"/>
      <w:szCs w:val="22"/>
      <w:lang w:val="en-GB"/>
    </w:rPr>
  </w:style>
  <w:style w:type="paragraph" w:styleId="Heading3">
    <w:name w:val="heading 3"/>
    <w:basedOn w:val="Normal"/>
    <w:next w:val="Normal"/>
    <w:link w:val="Heading3Char"/>
    <w:uiPriority w:val="9"/>
    <w:unhideWhenUsed/>
    <w:qFormat/>
    <w:rsid w:val="00334405"/>
    <w:pPr>
      <w:numPr>
        <w:ilvl w:val="2"/>
        <w:numId w:val="1"/>
      </w:numPr>
      <w:pBdr>
        <w:top w:val="single" w:sz="6" w:space="2" w:color="4F81BD" w:themeColor="accent1"/>
        <w:left w:val="single" w:sz="6" w:space="2" w:color="4F81BD" w:themeColor="accent1"/>
      </w:pBdr>
      <w:spacing w:before="300" w:after="0"/>
      <w:ind w:left="709" w:hanging="709"/>
      <w:outlineLvl w:val="2"/>
    </w:pPr>
    <w:rPr>
      <w:smallCaps/>
      <w:color w:val="243F60" w:themeColor="accent1" w:themeShade="7F"/>
      <w:spacing w:val="15"/>
      <w:sz w:val="22"/>
      <w:szCs w:val="22"/>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B26D1"/>
    <w:rPr>
      <w:rFonts w:eastAsiaTheme="minorEastAsia"/>
      <w:b/>
      <w:bCs/>
      <w:smallCaps/>
      <w:color w:val="FFFFFF" w:themeColor="background1"/>
      <w:spacing w:val="15"/>
      <w:shd w:val="clear" w:color="auto" w:fill="4F81BD" w:themeFill="accent1"/>
      <w:lang w:val="en-GB" w:bidi="en-US"/>
    </w:rPr>
  </w:style>
  <w:style w:type="character" w:customStyle="1" w:styleId="Heading2Char">
    <w:name w:val="Heading 2 Char"/>
    <w:basedOn w:val="DefaultParagraphFont"/>
    <w:link w:val="Heading2"/>
    <w:uiPriority w:val="9"/>
    <w:rsid w:val="00EB26D1"/>
    <w:rPr>
      <w:rFonts w:eastAsiaTheme="minorEastAsia"/>
      <w:smallCaps/>
      <w:spacing w:val="15"/>
      <w:shd w:val="clear" w:color="auto" w:fill="DBE5F1" w:themeFill="accent1" w:themeFillTint="33"/>
      <w:lang w:val="en-GB" w:bidi="en-US"/>
    </w:rPr>
  </w:style>
  <w:style w:type="character" w:customStyle="1" w:styleId="Heading3Char">
    <w:name w:val="Heading 3 Char"/>
    <w:basedOn w:val="DefaultParagraphFont"/>
    <w:link w:val="Heading3"/>
    <w:uiPriority w:val="9"/>
    <w:rsid w:val="00334405"/>
    <w:rPr>
      <w:rFonts w:eastAsiaTheme="minorEastAsia"/>
      <w:smallCaps/>
      <w:color w:val="243F60" w:themeColor="accent1" w:themeShade="7F"/>
      <w:spacing w:val="15"/>
      <w:lang w:val="en-GB" w:bidi="en-US"/>
    </w:rPr>
  </w:style>
  <w:style w:type="paragraph" w:styleId="NoSpacing">
    <w:name w:val="No Spacing"/>
    <w:basedOn w:val="Normal"/>
    <w:link w:val="NoSpacingChar"/>
    <w:uiPriority w:val="1"/>
    <w:qFormat/>
    <w:rsid w:val="00334405"/>
    <w:pPr>
      <w:spacing w:after="0" w:line="240" w:lineRule="auto"/>
    </w:pPr>
  </w:style>
  <w:style w:type="character" w:customStyle="1" w:styleId="NoSpacingChar">
    <w:name w:val="No Spacing Char"/>
    <w:basedOn w:val="DefaultParagraphFont"/>
    <w:link w:val="NoSpacing"/>
    <w:uiPriority w:val="1"/>
    <w:rsid w:val="00334405"/>
    <w:rPr>
      <w:rFonts w:eastAsiaTheme="minorEastAsia"/>
      <w:sz w:val="20"/>
      <w:szCs w:val="20"/>
      <w:lang w:bidi="en-US"/>
    </w:rPr>
  </w:style>
  <w:style w:type="paragraph" w:styleId="Title">
    <w:name w:val="Title"/>
    <w:basedOn w:val="Normal"/>
    <w:next w:val="Normal"/>
    <w:link w:val="TitleChar"/>
    <w:uiPriority w:val="10"/>
    <w:qFormat/>
    <w:rsid w:val="00334405"/>
    <w:pPr>
      <w:spacing w:before="720"/>
    </w:pPr>
    <w:rPr>
      <w:smallCaps/>
      <w:color w:val="4F81BD" w:themeColor="accent1"/>
      <w:spacing w:val="10"/>
      <w:kern w:val="28"/>
      <w:sz w:val="52"/>
      <w:szCs w:val="52"/>
      <w:lang w:val="en-GB"/>
    </w:rPr>
  </w:style>
  <w:style w:type="character" w:customStyle="1" w:styleId="TitleChar">
    <w:name w:val="Title Char"/>
    <w:basedOn w:val="DefaultParagraphFont"/>
    <w:link w:val="Title"/>
    <w:uiPriority w:val="10"/>
    <w:rsid w:val="00334405"/>
    <w:rPr>
      <w:rFonts w:eastAsiaTheme="minorEastAsia"/>
      <w:smallCaps/>
      <w:color w:val="4F81BD" w:themeColor="accent1"/>
      <w:spacing w:val="10"/>
      <w:kern w:val="28"/>
      <w:sz w:val="52"/>
      <w:szCs w:val="52"/>
      <w:lang w:val="en-GB" w:bidi="en-US"/>
    </w:rPr>
  </w:style>
  <w:style w:type="paragraph" w:styleId="Subtitle">
    <w:name w:val="Subtitle"/>
    <w:basedOn w:val="Normal"/>
    <w:next w:val="Normal"/>
    <w:link w:val="SubtitleChar"/>
    <w:uiPriority w:val="11"/>
    <w:qFormat/>
    <w:rsid w:val="00334405"/>
    <w:pPr>
      <w:spacing w:after="1000" w:line="240" w:lineRule="auto"/>
    </w:pPr>
    <w:rPr>
      <w:smallCaps/>
      <w:color w:val="595959" w:themeColor="text1" w:themeTint="A6"/>
      <w:spacing w:val="10"/>
      <w:sz w:val="24"/>
      <w:szCs w:val="24"/>
      <w:lang w:val="en-GB"/>
    </w:rPr>
  </w:style>
  <w:style w:type="character" w:customStyle="1" w:styleId="SubtitleChar">
    <w:name w:val="Subtitle Char"/>
    <w:basedOn w:val="DefaultParagraphFont"/>
    <w:link w:val="Subtitle"/>
    <w:uiPriority w:val="11"/>
    <w:rsid w:val="00334405"/>
    <w:rPr>
      <w:rFonts w:eastAsiaTheme="minorEastAsia"/>
      <w:smallCaps/>
      <w:color w:val="595959" w:themeColor="text1" w:themeTint="A6"/>
      <w:spacing w:val="10"/>
      <w:sz w:val="24"/>
      <w:szCs w:val="24"/>
      <w:lang w:val="en-GB" w:bidi="en-US"/>
    </w:rPr>
  </w:style>
  <w:style w:type="paragraph" w:styleId="Header">
    <w:name w:val="header"/>
    <w:basedOn w:val="Normal"/>
    <w:link w:val="HeaderChar"/>
    <w:uiPriority w:val="99"/>
    <w:unhideWhenUsed/>
    <w:rsid w:val="00334405"/>
    <w:pPr>
      <w:tabs>
        <w:tab w:val="center" w:pos="4680"/>
        <w:tab w:val="right" w:pos="9360"/>
      </w:tabs>
      <w:spacing w:after="0" w:line="240" w:lineRule="auto"/>
    </w:pPr>
  </w:style>
  <w:style w:type="character" w:customStyle="1" w:styleId="HeaderChar">
    <w:name w:val="Header Char"/>
    <w:basedOn w:val="DefaultParagraphFont"/>
    <w:link w:val="Header"/>
    <w:uiPriority w:val="99"/>
    <w:rsid w:val="00334405"/>
    <w:rPr>
      <w:rFonts w:eastAsiaTheme="minorEastAsia"/>
      <w:sz w:val="20"/>
      <w:szCs w:val="20"/>
      <w:lang w:bidi="en-US"/>
    </w:rPr>
  </w:style>
  <w:style w:type="paragraph" w:styleId="Footer">
    <w:name w:val="footer"/>
    <w:basedOn w:val="Normal"/>
    <w:link w:val="FooterChar"/>
    <w:uiPriority w:val="99"/>
    <w:unhideWhenUsed/>
    <w:rsid w:val="00334405"/>
    <w:pPr>
      <w:tabs>
        <w:tab w:val="center" w:pos="4680"/>
        <w:tab w:val="right" w:pos="9360"/>
      </w:tabs>
      <w:spacing w:after="0" w:line="240" w:lineRule="auto"/>
    </w:pPr>
  </w:style>
  <w:style w:type="character" w:customStyle="1" w:styleId="FooterChar">
    <w:name w:val="Footer Char"/>
    <w:basedOn w:val="DefaultParagraphFont"/>
    <w:link w:val="Footer"/>
    <w:uiPriority w:val="99"/>
    <w:rsid w:val="00334405"/>
    <w:rPr>
      <w:rFonts w:eastAsiaTheme="minorEastAsia"/>
      <w:sz w:val="20"/>
      <w:szCs w:val="20"/>
      <w:lang w:bidi="en-US"/>
    </w:rPr>
  </w:style>
  <w:style w:type="paragraph" w:styleId="ListParagraph">
    <w:name w:val="List Paragraph"/>
    <w:basedOn w:val="Normal"/>
    <w:uiPriority w:val="34"/>
    <w:qFormat/>
    <w:rsid w:val="00205970"/>
    <w:pPr>
      <w:ind w:left="720"/>
      <w:contextualSpacing/>
    </w:pPr>
  </w:style>
  <w:style w:type="character" w:styleId="CommentReference">
    <w:name w:val="annotation reference"/>
    <w:basedOn w:val="DefaultParagraphFont"/>
    <w:uiPriority w:val="99"/>
    <w:semiHidden/>
    <w:unhideWhenUsed/>
    <w:rsid w:val="00FC1E5C"/>
    <w:rPr>
      <w:sz w:val="18"/>
      <w:szCs w:val="18"/>
    </w:rPr>
  </w:style>
  <w:style w:type="paragraph" w:styleId="CommentText">
    <w:name w:val="annotation text"/>
    <w:basedOn w:val="Normal"/>
    <w:link w:val="CommentTextChar"/>
    <w:uiPriority w:val="99"/>
    <w:unhideWhenUsed/>
    <w:rsid w:val="00FC1E5C"/>
    <w:pPr>
      <w:spacing w:line="240" w:lineRule="auto"/>
    </w:pPr>
    <w:rPr>
      <w:sz w:val="24"/>
      <w:szCs w:val="24"/>
    </w:rPr>
  </w:style>
  <w:style w:type="character" w:customStyle="1" w:styleId="CommentTextChar">
    <w:name w:val="Comment Text Char"/>
    <w:basedOn w:val="DefaultParagraphFont"/>
    <w:link w:val="CommentText"/>
    <w:uiPriority w:val="99"/>
    <w:rsid w:val="00FC1E5C"/>
    <w:rPr>
      <w:rFonts w:eastAsiaTheme="minorEastAsia"/>
      <w:sz w:val="24"/>
      <w:szCs w:val="24"/>
      <w:lang w:bidi="en-US"/>
    </w:rPr>
  </w:style>
  <w:style w:type="paragraph" w:styleId="CommentSubject">
    <w:name w:val="annotation subject"/>
    <w:basedOn w:val="CommentText"/>
    <w:next w:val="CommentText"/>
    <w:link w:val="CommentSubjectChar"/>
    <w:uiPriority w:val="99"/>
    <w:semiHidden/>
    <w:unhideWhenUsed/>
    <w:rsid w:val="00FC1E5C"/>
    <w:rPr>
      <w:b/>
      <w:bCs/>
      <w:sz w:val="20"/>
      <w:szCs w:val="20"/>
    </w:rPr>
  </w:style>
  <w:style w:type="character" w:customStyle="1" w:styleId="CommentSubjectChar">
    <w:name w:val="Comment Subject Char"/>
    <w:basedOn w:val="CommentTextChar"/>
    <w:link w:val="CommentSubject"/>
    <w:uiPriority w:val="99"/>
    <w:semiHidden/>
    <w:rsid w:val="00FC1E5C"/>
    <w:rPr>
      <w:rFonts w:eastAsiaTheme="minorEastAsia"/>
      <w:b/>
      <w:bCs/>
      <w:sz w:val="20"/>
      <w:szCs w:val="20"/>
      <w:lang w:bidi="en-US"/>
    </w:rPr>
  </w:style>
  <w:style w:type="paragraph" w:styleId="BalloonText">
    <w:name w:val="Balloon Text"/>
    <w:basedOn w:val="Normal"/>
    <w:link w:val="BalloonTextChar"/>
    <w:uiPriority w:val="99"/>
    <w:semiHidden/>
    <w:unhideWhenUsed/>
    <w:rsid w:val="00FC1E5C"/>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FC1E5C"/>
    <w:rPr>
      <w:rFonts w:ascii="Lucida Grande" w:eastAsiaTheme="minorEastAsia" w:hAnsi="Lucida Grande" w:cs="Lucida Grande"/>
      <w:sz w:val="18"/>
      <w:szCs w:val="18"/>
      <w:lang w:bidi="en-US"/>
    </w:rPr>
  </w:style>
  <w:style w:type="paragraph" w:styleId="Revision">
    <w:name w:val="Revision"/>
    <w:hidden/>
    <w:uiPriority w:val="99"/>
    <w:semiHidden/>
    <w:rsid w:val="00754C2D"/>
    <w:pPr>
      <w:spacing w:after="0" w:line="240" w:lineRule="auto"/>
    </w:pPr>
    <w:rPr>
      <w:rFonts w:eastAsiaTheme="minorEastAsia"/>
      <w:sz w:val="20"/>
      <w:szCs w:val="20"/>
      <w:lang w:bidi="en-US"/>
    </w:rPr>
  </w:style>
  <w:style w:type="paragraph" w:styleId="DocumentMap">
    <w:name w:val="Document Map"/>
    <w:basedOn w:val="Normal"/>
    <w:link w:val="DocumentMapChar"/>
    <w:uiPriority w:val="99"/>
    <w:semiHidden/>
    <w:unhideWhenUsed/>
    <w:rsid w:val="00A34895"/>
    <w:pPr>
      <w:spacing w:after="0" w:line="240" w:lineRule="auto"/>
    </w:pPr>
    <w:rPr>
      <w:rFonts w:ascii="Lucida Grande" w:hAnsi="Lucida Grande" w:cs="Lucida Grande"/>
      <w:sz w:val="24"/>
      <w:szCs w:val="24"/>
    </w:rPr>
  </w:style>
  <w:style w:type="character" w:customStyle="1" w:styleId="DocumentMapChar">
    <w:name w:val="Document Map Char"/>
    <w:basedOn w:val="DefaultParagraphFont"/>
    <w:link w:val="DocumentMap"/>
    <w:uiPriority w:val="99"/>
    <w:semiHidden/>
    <w:rsid w:val="00A34895"/>
    <w:rPr>
      <w:rFonts w:ascii="Lucida Grande" w:eastAsiaTheme="minorEastAsia" w:hAnsi="Lucida Grande" w:cs="Lucida Grande"/>
      <w:sz w:val="24"/>
      <w:szCs w:val="24"/>
      <w:lang w:bidi="en-US"/>
    </w:rPr>
  </w:style>
  <w:style w:type="table" w:styleId="TableGrid">
    <w:name w:val="Table Grid"/>
    <w:basedOn w:val="TableNormal"/>
    <w:uiPriority w:val="59"/>
    <w:rsid w:val="000E749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4F0733"/>
    <w:rPr>
      <w:color w:val="0000FF" w:themeColor="hyperlink"/>
      <w:u w:val="single"/>
    </w:rPr>
  </w:style>
  <w:style w:type="character" w:styleId="PageNumber">
    <w:name w:val="page number"/>
    <w:basedOn w:val="DefaultParagraphFont"/>
    <w:uiPriority w:val="99"/>
    <w:semiHidden/>
    <w:unhideWhenUsed/>
    <w:rsid w:val="000E19F8"/>
  </w:style>
  <w:style w:type="paragraph" w:styleId="FootnoteText">
    <w:name w:val="footnote text"/>
    <w:basedOn w:val="Normal"/>
    <w:link w:val="FootnoteTextChar"/>
    <w:uiPriority w:val="99"/>
    <w:unhideWhenUsed/>
    <w:rsid w:val="000D12D1"/>
    <w:pPr>
      <w:spacing w:after="0" w:line="240" w:lineRule="auto"/>
    </w:pPr>
    <w:rPr>
      <w:sz w:val="24"/>
      <w:szCs w:val="24"/>
    </w:rPr>
  </w:style>
  <w:style w:type="character" w:customStyle="1" w:styleId="FootnoteTextChar">
    <w:name w:val="Footnote Text Char"/>
    <w:basedOn w:val="DefaultParagraphFont"/>
    <w:link w:val="FootnoteText"/>
    <w:uiPriority w:val="99"/>
    <w:rsid w:val="000D12D1"/>
    <w:rPr>
      <w:rFonts w:eastAsiaTheme="minorEastAsia"/>
      <w:sz w:val="24"/>
      <w:szCs w:val="24"/>
      <w:lang w:bidi="en-US"/>
    </w:rPr>
  </w:style>
  <w:style w:type="character" w:styleId="FootnoteReference">
    <w:name w:val="footnote reference"/>
    <w:basedOn w:val="DefaultParagraphFont"/>
    <w:uiPriority w:val="99"/>
    <w:unhideWhenUsed/>
    <w:rsid w:val="000D12D1"/>
    <w:rPr>
      <w:vertAlign w:val="superscript"/>
    </w:rPr>
  </w:style>
  <w:style w:type="character" w:styleId="FollowedHyperlink">
    <w:name w:val="FollowedHyperlink"/>
    <w:basedOn w:val="DefaultParagraphFont"/>
    <w:uiPriority w:val="99"/>
    <w:semiHidden/>
    <w:unhideWhenUsed/>
    <w:rsid w:val="004A3E3B"/>
    <w:rPr>
      <w:color w:val="800080" w:themeColor="followedHyperlink"/>
      <w:u w:val="single"/>
    </w:rPr>
  </w:style>
  <w:style w:type="character" w:customStyle="1" w:styleId="UnresolvedMention1">
    <w:name w:val="Unresolved Mention1"/>
    <w:basedOn w:val="DefaultParagraphFont"/>
    <w:uiPriority w:val="99"/>
    <w:rsid w:val="00D139A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8604226">
      <w:bodyDiv w:val="1"/>
      <w:marLeft w:val="0"/>
      <w:marRight w:val="0"/>
      <w:marTop w:val="0"/>
      <w:marBottom w:val="0"/>
      <w:divBdr>
        <w:top w:val="none" w:sz="0" w:space="0" w:color="auto"/>
        <w:left w:val="none" w:sz="0" w:space="0" w:color="auto"/>
        <w:bottom w:val="none" w:sz="0" w:space="0" w:color="auto"/>
        <w:right w:val="none" w:sz="0" w:space="0" w:color="auto"/>
      </w:divBdr>
    </w:div>
    <w:div w:id="793062309">
      <w:bodyDiv w:val="1"/>
      <w:marLeft w:val="0"/>
      <w:marRight w:val="0"/>
      <w:marTop w:val="0"/>
      <w:marBottom w:val="0"/>
      <w:divBdr>
        <w:top w:val="none" w:sz="0" w:space="0" w:color="auto"/>
        <w:left w:val="none" w:sz="0" w:space="0" w:color="auto"/>
        <w:bottom w:val="none" w:sz="0" w:space="0" w:color="auto"/>
        <w:right w:val="none" w:sz="0" w:space="0" w:color="auto"/>
      </w:divBdr>
    </w:div>
    <w:div w:id="1052727341">
      <w:bodyDiv w:val="1"/>
      <w:marLeft w:val="0"/>
      <w:marRight w:val="0"/>
      <w:marTop w:val="0"/>
      <w:marBottom w:val="0"/>
      <w:divBdr>
        <w:top w:val="none" w:sz="0" w:space="0" w:color="auto"/>
        <w:left w:val="none" w:sz="0" w:space="0" w:color="auto"/>
        <w:bottom w:val="none" w:sz="0" w:space="0" w:color="auto"/>
        <w:right w:val="none" w:sz="0" w:space="0" w:color="auto"/>
      </w:divBdr>
    </w:div>
    <w:div w:id="18920384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sdg6monitoring.org/indicators/target-6b/" TargetMode="External"/><Relationship Id="rId18" Type="http://schemas.openxmlformats.org/officeDocument/2006/relationships/hyperlink" Target="http://iwrmdataportal.unepdhi.org/" TargetMode="External"/><Relationship Id="rId3" Type="http://schemas.openxmlformats.org/officeDocument/2006/relationships/customXml" Target="../customXml/item3.xml"/><Relationship Id="rId21" Type="http://schemas.openxmlformats.org/officeDocument/2006/relationships/footer" Target="footer1.xml"/><Relationship Id="rId7" Type="http://schemas.openxmlformats.org/officeDocument/2006/relationships/settings" Target="settings.xml"/><Relationship Id="rId12" Type="http://schemas.openxmlformats.org/officeDocument/2006/relationships/hyperlink" Target="http://iwrmdataportal.unepdhi.org/" TargetMode="External"/><Relationship Id="rId17" Type="http://schemas.openxmlformats.org/officeDocument/2006/relationships/hyperlink" Target="https://www.unwater.org/institution/un-office-for-disaster-risk-reduction-unisdr/" TargetMode="External"/><Relationship Id="rId2" Type="http://schemas.openxmlformats.org/officeDocument/2006/relationships/customXml" Target="../customXml/item2.xml"/><Relationship Id="rId16" Type="http://schemas.openxmlformats.org/officeDocument/2006/relationships/hyperlink" Target="https://www.sdg6monitoring.org/indicators/target-66/" TargetMode="External"/><Relationship Id="rId20" Type="http://schemas.openxmlformats.org/officeDocument/2006/relationships/hyperlink" Target="http://iwrmdataportal.unepdhi.org/"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iwrmdataportal.unepdhi.org/" TargetMode="External"/><Relationship Id="rId24"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hyperlink" Target="https://www.sdg6monitoring.org/indicators/target-63/" TargetMode="External"/><Relationship Id="rId23"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hyperlink" Target="mailto:iwrmsdg651@un.org"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dg6monitoring.org/indicators/target-64/" TargetMode="External"/><Relationship Id="rId22" Type="http://schemas.openxmlformats.org/officeDocument/2006/relationships/footer" Target="footer2.xml"/></Relationships>
</file>

<file path=word/_rels/footnotes.xml.rels><?xml version="1.0" encoding="UTF-8" standalone="yes"?>
<Relationships xmlns="http://schemas.openxmlformats.org/package/2006/relationships"><Relationship Id="rId1" Type="http://schemas.openxmlformats.org/officeDocument/2006/relationships/hyperlink" Target="http://iwrmdataportal.unepdhi.org/"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WMOuser\Dropbox\UN-Water\31%20GEMI\Work\GEMI.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da6fb1b6-4ee2-40fb-bb3b-74c8d3b07269">
      <Terms xmlns="http://schemas.microsoft.com/office/infopath/2007/PartnerControls"/>
    </lcf76f155ced4ddcb4097134ff3c332f>
    <k4ba791d09a440aba63648a4fa83da7e xmlns="13903724-28f5-48bb-9c71-b0ec8b148fe0">
      <Terms xmlns="http://schemas.microsoft.com/office/infopath/2007/PartnerControls"/>
    </k4ba791d09a440aba63648a4fa83da7e>
    <n2755ad5c18e49c7adbfdd598b931bcc xmlns="13903724-28f5-48bb-9c71-b0ec8b148fe0">
      <Terms xmlns="http://schemas.microsoft.com/office/infopath/2007/PartnerControls"/>
    </n2755ad5c18e49c7adbfdd598b931bcc>
    <TaxCatchAll xmlns="13903724-28f5-48bb-9c71-b0ec8b148fe0" xsi:nil="true"/>
    <DHIDateCreated xmlns="13903724-28f5-48bb-9c71-b0ec8b148fe0" xsi:nil="true"/>
    <DHIPublication xmlns="13903724-28f5-48bb-9c71-b0ec8b148fe0" xsi:nil="true"/>
    <b282f493e26e4ef1a208c9a49b9311f3 xmlns="13903724-28f5-48bb-9c71-b0ec8b148fe0">
      <Terms xmlns="http://schemas.microsoft.com/office/infopath/2007/PartnerControls"/>
    </b282f493e26e4ef1a208c9a49b9311f3>
    <DHIReviewLink xmlns="13903724-28f5-48bb-9c71-b0ec8b148fe0">
      <Url xsi:nil="true"/>
      <Description xsi:nil="true"/>
    </DHIReviewLink>
    <DHIManagementApprovalLink xmlns="13903724-28f5-48bb-9c71-b0ec8b148fe0">
      <Url xsi:nil="true"/>
      <Description xsi:nil="true"/>
    </DHIManagementApprovalLink>
    <e8bce870359e4a09862e3b9640f665e6 xmlns="13903724-28f5-48bb-9c71-b0ec8b148fe0">
      <Terms xmlns="http://schemas.microsoft.com/office/infopath/2007/PartnerControls"/>
    </e8bce870359e4a09862e3b9640f665e6>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HI Document" ma:contentTypeID="0x010100662C79DA35A2284584E29B1E84C9C8C700249DDBCB99AB314F859551F107D2B961" ma:contentTypeVersion="27" ma:contentTypeDescription="Create a new document." ma:contentTypeScope="" ma:versionID="663b878984944493dd654e02a52ffc27">
  <xsd:schema xmlns:xsd="http://www.w3.org/2001/XMLSchema" xmlns:xs="http://www.w3.org/2001/XMLSchema" xmlns:p="http://schemas.microsoft.com/office/2006/metadata/properties" xmlns:ns2="13903724-28f5-48bb-9c71-b0ec8b148fe0" xmlns:ns3="13903724-28f5-48bb-9c71-b0ec8b148fe0" xmlns:ns4="da6fb1b6-4ee2-40fb-bb3b-74c8d3b07269" targetNamespace="http://schemas.microsoft.com/office/2006/metadata/properties" ma:root="true" ma:fieldsID="03d0763a3d5a9b841bfa1ea63cf982e1" ns3:_="" ns4:_="">
    <xsd:import namespace="13903724-28f5-48bb-9c71-b0ec8b148fe0"/>
    <xsd:import namespace="13903724-28f5-48bb-9c71-b0ec8b148fe0"/>
    <xsd:import namespace="da6fb1b6-4ee2-40fb-bb3b-74c8d3b07269"/>
    <xsd:element name="properties">
      <xsd:complexType>
        <xsd:sequence>
          <xsd:element name="documentManagement">
            <xsd:complexType>
              <xsd:all>
                <xsd:element ref="ns2:TaxCatchAll" minOccurs="0"/>
                <xsd:element ref="ns2:TaxCatchAllLabel" minOccurs="0"/>
                <xsd:element ref="ns3:k4ba791d09a440aba63648a4fa83da7e" minOccurs="0"/>
                <xsd:element ref="ns3:n2755ad5c18e49c7adbfdd598b931bcc" minOccurs="0"/>
                <xsd:element ref="ns3:b282f493e26e4ef1a208c9a49b9311f3" minOccurs="0"/>
                <xsd:element ref="ns3:e8bce870359e4a09862e3b9640f665e6" minOccurs="0"/>
                <xsd:element ref="ns3:DHIPublication" minOccurs="0"/>
                <xsd:element ref="ns3:DHIDateCreated" minOccurs="0"/>
                <xsd:element ref="ns3:DHIReviewLink" minOccurs="0"/>
                <xsd:element ref="ns3:DHIManagementApprovalLink" minOccurs="0"/>
                <xsd:element ref="ns4:MediaServiceMetadata" minOccurs="0"/>
                <xsd:element ref="ns4:MediaServiceFastMetadata" minOccurs="0"/>
                <xsd:element ref="ns2:SharedWithUsers" minOccurs="0"/>
                <xsd:element ref="ns2:SharedWithDetails" minOccurs="0"/>
                <xsd:element ref="ns4:lcf76f155ced4ddcb4097134ff3c332f" minOccurs="0"/>
                <xsd:element ref="ns4:MediaServiceOCR" minOccurs="0"/>
                <xsd:element ref="ns4:MediaServiceGenerationTime" minOccurs="0"/>
                <xsd:element ref="ns4:MediaServiceEventHashCode" minOccurs="0"/>
                <xsd:element ref="ns4:MediaServiceDateTaken" minOccurs="0"/>
                <xsd:element ref="ns4:MediaServiceObjectDetectorVersions" minOccurs="0"/>
                <xsd:element ref="ns4:MediaLengthInSeconds" minOccurs="0"/>
                <xsd:element ref="ns4: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3903724-28f5-48bb-9c71-b0ec8b148fe0" elementFormDefault="qualified">
    <xsd:import namespace="http://schemas.microsoft.com/office/2006/documentManagement/types"/>
    <xsd:import namespace="http://schemas.microsoft.com/office/infopath/2007/PartnerControls"/>
    <xsd:element name="TaxCatchAll" ma:index="8" nillable="true" ma:displayName="Taxonomy Catch All Column" ma:hidden="true" ma:list="{6801673a-fca3-46f3-b8d0-63933d2703a0}" ma:internalName="TaxCatchAll" ma:showField="CatchAllData" ma:web="13903724-28f5-48bb-9c71-b0ec8b148fe0">
      <xsd:complexType>
        <xsd:complexContent>
          <xsd:extension base="dms:MultiChoiceLookup">
            <xsd:sequence>
              <xsd:element name="Value" type="dms:Lookup" maxOccurs="unbounded" minOccurs="0" nillable="true"/>
            </xsd:sequence>
          </xsd:extension>
        </xsd:complexContent>
      </xsd:complexType>
    </xsd:element>
    <xsd:element name="TaxCatchAllLabel" ma:index="9" nillable="true" ma:displayName="Taxonomy Catch All Column1" ma:hidden="true" ma:list="{6801673a-fca3-46f3-b8d0-63933d2703a0}" ma:internalName="TaxCatchAllLabel" ma:readOnly="true" ma:showField="CatchAllDataLabel" ma:web="13903724-28f5-48bb-9c71-b0ec8b148fe0">
      <xsd:complexType>
        <xsd:complexContent>
          <xsd:extension base="dms:MultiChoiceLookup">
            <xsd:sequence>
              <xsd:element name="Value" type="dms:Lookup" maxOccurs="unbounded" minOccurs="0" nillable="true"/>
            </xsd:sequence>
          </xsd:extension>
        </xsd:complexContent>
      </xsd:complexType>
    </xsd:element>
    <xsd:element name="SharedWithUsers" ma:index="2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5"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13903724-28f5-48bb-9c71-b0ec8b148fe0" elementFormDefault="qualified">
    <xsd:import namespace="http://schemas.microsoft.com/office/2006/documentManagement/types"/>
    <xsd:import namespace="http://schemas.microsoft.com/office/infopath/2007/PartnerControls"/>
    <xsd:element name="k4ba791d09a440aba63648a4fa83da7e" ma:index="10" nillable="true" ma:taxonomy="true" ma:internalName="k4ba791d09a440aba63648a4fa83da7e" ma:taxonomyFieldName="DHICategory" ma:displayName="DHICategory" ma:default="" ma:fieldId="{44ba791d-09a4-40ab-a636-48a4fa83da7e}" ma:taxonomyMulti="true" ma:sspId="0cc1a1f7-5d9d-487e-9c70-c04623747153" ma:termSetId="cf316dbf-09a7-4527-b108-6ead98ea1f8f" ma:anchorId="00000000-0000-0000-0000-000000000000" ma:open="false" ma:isKeyword="false">
      <xsd:complexType>
        <xsd:sequence>
          <xsd:element ref="pc:Terms" minOccurs="0" maxOccurs="1"/>
        </xsd:sequence>
      </xsd:complexType>
    </xsd:element>
    <xsd:element name="n2755ad5c18e49c7adbfdd598b931bcc" ma:index="12" nillable="true" ma:taxonomy="true" ma:internalName="n2755ad5c18e49c7adbfdd598b931bcc" ma:taxonomyFieldName="DHIArea" ma:displayName="DHIArea" ma:default="" ma:fieldId="{72755ad5-c18e-49c7-adbf-dd598b931bcc}" ma:taxonomyMulti="true" ma:sspId="0cc1a1f7-5d9d-487e-9c70-c04623747153" ma:termSetId="3e9017fb-0c0c-4812-abde-a160736a9a23" ma:anchorId="00000000-0000-0000-0000-000000000000" ma:open="false" ma:isKeyword="false">
      <xsd:complexType>
        <xsd:sequence>
          <xsd:element ref="pc:Terms" minOccurs="0" maxOccurs="1"/>
        </xsd:sequence>
      </xsd:complexType>
    </xsd:element>
    <xsd:element name="b282f493e26e4ef1a208c9a49b9311f3" ma:index="14" nillable="true" ma:taxonomy="true" ma:internalName="b282f493e26e4ef1a208c9a49b9311f3" ma:taxonomyFieldName="DHIKeywords" ma:displayName="DHIKeywords" ma:default="" ma:fieldId="{b282f493-e26e-4ef1-a208-c9a49b9311f3}" ma:taxonomyMulti="true" ma:sspId="0cc1a1f7-5d9d-487e-9c70-c04623747153" ma:termSetId="d8f945d8-c24d-4deb-a750-9e845efe98c8" ma:anchorId="00000000-0000-0000-0000-000000000000" ma:open="true" ma:isKeyword="false">
      <xsd:complexType>
        <xsd:sequence>
          <xsd:element ref="pc:Terms" minOccurs="0" maxOccurs="1"/>
        </xsd:sequence>
      </xsd:complexType>
    </xsd:element>
    <xsd:element name="e8bce870359e4a09862e3b9640f665e6" ma:index="16" nillable="true" ma:taxonomy="true" ma:internalName="e8bce870359e4a09862e3b9640f665e6" ma:taxonomyFieldName="DHIAuthor" ma:displayName="DHIAuthor" ma:default="" ma:fieldId="{e8bce870-359e-4a09-862e-3b9640f665e6}" ma:taxonomyMulti="true" ma:sspId="0cc1a1f7-5d9d-487e-9c70-c04623747153" ma:termSetId="0c97983b-bbfd-42d4-9c04-ca31687e0c2a" ma:anchorId="00000000-0000-0000-0000-000000000000" ma:open="true" ma:isKeyword="false">
      <xsd:complexType>
        <xsd:sequence>
          <xsd:element ref="pc:Terms" minOccurs="0" maxOccurs="1"/>
        </xsd:sequence>
      </xsd:complexType>
    </xsd:element>
    <xsd:element name="DHIPublication" ma:index="18" nillable="true" ma:displayName="DHIPublication" ma:description="If the item is not a DHI publication, type the full name of the publication, e.g. journal name or book title and publisher" ma:internalName="DHIPublication">
      <xsd:simpleType>
        <xsd:restriction base="dms:Text">
          <xsd:maxLength value="255"/>
        </xsd:restriction>
      </xsd:simpleType>
    </xsd:element>
    <xsd:element name="DHIDateCreated" ma:index="19" nillable="true" ma:displayName="DHIDateCreated" ma:description="Accept the default creation date or add the date and year of publication." ma:format="DateOnly" ma:internalName="DHIDateCreated">
      <xsd:simpleType>
        <xsd:restriction base="dms:DateTime"/>
      </xsd:simpleType>
    </xsd:element>
    <xsd:element name="DHIReviewLink" ma:index="20" nillable="true" ma:displayName="DHI Review" ma:format="Hyperlink" ma:internalName="DHIReviewLink">
      <xsd:complexType>
        <xsd:complexContent>
          <xsd:extension base="dms:URL">
            <xsd:sequence>
              <xsd:element name="Url" type="dms:ValidUrl" minOccurs="0" nillable="true"/>
              <xsd:element name="Description" type="xsd:string" nillable="true"/>
            </xsd:sequence>
          </xsd:extension>
        </xsd:complexContent>
      </xsd:complexType>
    </xsd:element>
    <xsd:element name="DHIManagementApprovalLink" ma:index="21" nillable="true" ma:displayName="DHI Management Approval" ma:format="Hyperlink" ma:internalName="DHIManagementApprovalLink">
      <xsd:complexType>
        <xsd:complexContent>
          <xsd:extension base="dms:URL">
            <xsd:sequence>
              <xsd:element name="Url" type="dms:ValidUrl" minOccurs="0" nillable="true"/>
              <xsd:element name="Description" type="xsd:string"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da6fb1b6-4ee2-40fb-bb3b-74c8d3b07269" elementFormDefault="qualified">
    <xsd:import namespace="http://schemas.microsoft.com/office/2006/documentManagement/types"/>
    <xsd:import namespace="http://schemas.microsoft.com/office/infopath/2007/PartnerControls"/>
    <xsd:element name="MediaServiceMetadata" ma:index="22" nillable="true" ma:displayName="MediaServiceMetadata" ma:hidden="true" ma:internalName="MediaServiceMetadata" ma:readOnly="true">
      <xsd:simpleType>
        <xsd:restriction base="dms:Note"/>
      </xsd:simpleType>
    </xsd:element>
    <xsd:element name="MediaServiceFastMetadata" ma:index="23" nillable="true" ma:displayName="MediaServiceFastMetadata" ma:hidden="true" ma:internalName="MediaServiceFastMetadata" ma:readOnly="true">
      <xsd:simpleType>
        <xsd:restriction base="dms:Note"/>
      </xsd:simpleType>
    </xsd:element>
    <xsd:element name="lcf76f155ced4ddcb4097134ff3c332f" ma:index="27" nillable="true" ma:taxonomy="true" ma:internalName="lcf76f155ced4ddcb4097134ff3c332f" ma:taxonomyFieldName="MediaServiceImageTags" ma:displayName="Image Tags" ma:readOnly="false" ma:fieldId="{5cf76f15-5ced-4ddc-b409-7134ff3c332f}" ma:taxonomyMulti="true" ma:sspId="0cc1a1f7-5d9d-487e-9c70-c04623747153" ma:termSetId="09814cd3-568e-fe90-9814-8d621ff8fb84" ma:anchorId="fba54fb3-c3e1-fe81-a776-ca4b69148c4d" ma:open="true" ma:isKeyword="false">
      <xsd:complexType>
        <xsd:sequence>
          <xsd:element ref="pc:Terms" minOccurs="0" maxOccurs="1"/>
        </xsd:sequence>
      </xsd:complexType>
    </xsd:element>
    <xsd:element name="MediaServiceOCR" ma:index="28" nillable="true" ma:displayName="Extracted Text" ma:internalName="MediaServiceOCR" ma:readOnly="true">
      <xsd:simpleType>
        <xsd:restriction base="dms:Note">
          <xsd:maxLength value="255"/>
        </xsd:restriction>
      </xsd:simpleType>
    </xsd:element>
    <xsd:element name="MediaServiceGenerationTime" ma:index="29" nillable="true" ma:displayName="MediaServiceGenerationTime" ma:hidden="true" ma:internalName="MediaServiceGenerationTime" ma:readOnly="true">
      <xsd:simpleType>
        <xsd:restriction base="dms:Text"/>
      </xsd:simpleType>
    </xsd:element>
    <xsd:element name="MediaServiceEventHashCode" ma:index="30" nillable="true" ma:displayName="MediaServiceEventHashCode" ma:hidden="true" ma:internalName="MediaServiceEventHashCode" ma:readOnly="true">
      <xsd:simpleType>
        <xsd:restriction base="dms:Text"/>
      </xsd:simpleType>
    </xsd:element>
    <xsd:element name="MediaServiceDateTaken" ma:index="31" nillable="true" ma:displayName="MediaServiceDateTaken" ma:hidden="true" ma:indexed="true" ma:internalName="MediaServiceDateTaken" ma:readOnly="true">
      <xsd:simpleType>
        <xsd:restriction base="dms:Text"/>
      </xsd:simpleType>
    </xsd:element>
    <xsd:element name="MediaServiceObjectDetectorVersions" ma:index="32" nillable="true" ma:displayName="MediaServiceObjectDetectorVersions" ma:hidden="true" ma:indexed="true" ma:internalName="MediaServiceObjectDetectorVersions" ma:readOnly="true">
      <xsd:simpleType>
        <xsd:restriction base="dms:Text"/>
      </xsd:simpleType>
    </xsd:element>
    <xsd:element name="MediaLengthInSeconds" ma:index="33" nillable="true" ma:displayName="MediaLengthInSeconds" ma:hidden="true" ma:internalName="MediaLengthInSeconds" ma:readOnly="true">
      <xsd:simpleType>
        <xsd:restriction base="dms:Unknown"/>
      </xsd:simpleType>
    </xsd:element>
    <xsd:element name="MediaServiceSearchProperties" ma:index="34"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C058579-EDAA-4560-9682-A74572AD0D8F}">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FA13CC2D-0CE9-42BF-84F2-E3AD7E790927}">
  <ds:schemaRefs>
    <ds:schemaRef ds:uri="http://schemas.microsoft.com/sharepoint/v3/contenttype/forms"/>
  </ds:schemaRefs>
</ds:datastoreItem>
</file>

<file path=customXml/itemProps3.xml><?xml version="1.0" encoding="utf-8"?>
<ds:datastoreItem xmlns:ds="http://schemas.openxmlformats.org/officeDocument/2006/customXml" ds:itemID="{E56B19C6-2759-47EB-9D74-48BCC88F88BE}"/>
</file>

<file path=customXml/itemProps4.xml><?xml version="1.0" encoding="utf-8"?>
<ds:datastoreItem xmlns:ds="http://schemas.openxmlformats.org/officeDocument/2006/customXml" ds:itemID="{D326F293-1253-48E0-BF0A-08BBAE4E6BD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GEMI</Template>
  <TotalTime>3</TotalTime>
  <Pages>8</Pages>
  <Words>3321</Words>
  <Characters>20263</Characters>
  <Application>Microsoft Office Word</Application>
  <DocSecurity>0</DocSecurity>
  <Lines>168</Lines>
  <Paragraphs>47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23537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Maria Schade</dc:creator>
  <cp:lastModifiedBy>Maija Bertule</cp:lastModifiedBy>
  <cp:revision>4</cp:revision>
  <cp:lastPrinted>2019-09-20T11:59:00Z</cp:lastPrinted>
  <dcterms:created xsi:type="dcterms:W3CDTF">2019-11-25T11:00:00Z</dcterms:created>
  <dcterms:modified xsi:type="dcterms:W3CDTF">2019-12-09T13:50:00Z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0x010100662C79DA35A2284584E29B1E84C9C8C700249DDBCB99AB314F859551F107D2B961</vt:lpwstr>
  </property>
</Properties>
</file>